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jc w:val="center"/>
        <w:rPr>
          <w:b/>
          <w:sz w:val="24"/>
          <w:szCs w:val="24"/>
        </w:rPr>
      </w:pPr>
    </w:p>
    <w:p w:rsidR="00D420E0" w:rsidRPr="00B77A01" w:rsidRDefault="00D420E0" w:rsidP="00861DA1">
      <w:pPr>
        <w:jc w:val="center"/>
        <w:rPr>
          <w:b/>
          <w:sz w:val="40"/>
          <w:szCs w:val="40"/>
        </w:rPr>
      </w:pPr>
      <w:r w:rsidRPr="00B77A01">
        <w:rPr>
          <w:b/>
          <w:sz w:val="40"/>
          <w:szCs w:val="40"/>
        </w:rPr>
        <w:t xml:space="preserve">Akcijski plan za prevenciju i kontrolu </w:t>
      </w:r>
    </w:p>
    <w:p w:rsidR="00D420E0" w:rsidRPr="00B77A01" w:rsidRDefault="00D420E0" w:rsidP="00861DA1">
      <w:pPr>
        <w:jc w:val="center"/>
        <w:rPr>
          <w:b/>
          <w:sz w:val="40"/>
          <w:szCs w:val="40"/>
        </w:rPr>
      </w:pPr>
      <w:r w:rsidRPr="00B77A01">
        <w:rPr>
          <w:b/>
          <w:sz w:val="40"/>
          <w:szCs w:val="40"/>
        </w:rPr>
        <w:t>kroničnih nezaraznih bolesti</w:t>
      </w:r>
    </w:p>
    <w:p w:rsidR="00D420E0" w:rsidRPr="00B77A01" w:rsidRDefault="00D420E0" w:rsidP="00861DA1">
      <w:pPr>
        <w:jc w:val="center"/>
        <w:rPr>
          <w:b/>
          <w:sz w:val="40"/>
          <w:szCs w:val="40"/>
        </w:rPr>
      </w:pPr>
      <w:r w:rsidRPr="00B77A01">
        <w:rPr>
          <w:b/>
          <w:sz w:val="40"/>
          <w:szCs w:val="40"/>
        </w:rPr>
        <w:t xml:space="preserve"> 2015.-2020.</w:t>
      </w: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40"/>
          <w:szCs w:val="40"/>
        </w:rPr>
      </w:pPr>
    </w:p>
    <w:p w:rsidR="00D420E0" w:rsidRDefault="00D420E0" w:rsidP="00743A84">
      <w:pPr>
        <w:spacing w:after="0" w:line="360" w:lineRule="auto"/>
        <w:jc w:val="center"/>
        <w:rPr>
          <w:b/>
          <w:sz w:val="28"/>
          <w:szCs w:val="28"/>
        </w:rPr>
      </w:pPr>
    </w:p>
    <w:p w:rsidR="00D420E0" w:rsidRPr="002D00E0" w:rsidRDefault="00D420E0" w:rsidP="00743A84">
      <w:pPr>
        <w:spacing w:after="0" w:line="360" w:lineRule="auto"/>
        <w:jc w:val="center"/>
        <w:rPr>
          <w:b/>
          <w:sz w:val="28"/>
          <w:szCs w:val="28"/>
        </w:rPr>
      </w:pPr>
      <w:r w:rsidRPr="002D00E0">
        <w:rPr>
          <w:b/>
          <w:sz w:val="28"/>
          <w:szCs w:val="28"/>
        </w:rPr>
        <w:t>Zagreb, ožujak 2015.</w:t>
      </w:r>
    </w:p>
    <w:p w:rsidR="00D420E0" w:rsidRPr="00B77A01" w:rsidRDefault="00D420E0" w:rsidP="000E0E42">
      <w:pPr>
        <w:pStyle w:val="TOCNaslov"/>
        <w:rPr>
          <w:lang w:val="hr-HR"/>
        </w:rPr>
      </w:pPr>
      <w:r>
        <w:rPr>
          <w:lang w:val="hr-HR"/>
        </w:rPr>
        <w:lastRenderedPageBreak/>
        <w:t>Sadržaj</w:t>
      </w:r>
    </w:p>
    <w:p w:rsidR="00D420E0" w:rsidRDefault="00D420E0">
      <w:pPr>
        <w:pStyle w:val="Sadraj1"/>
        <w:tabs>
          <w:tab w:val="right" w:leader="dot" w:pos="9062"/>
        </w:tabs>
      </w:pPr>
    </w:p>
    <w:p w:rsidR="00D420E0" w:rsidRDefault="00D420E0">
      <w:pPr>
        <w:pStyle w:val="Sadraj1"/>
        <w:tabs>
          <w:tab w:val="right" w:leader="dot" w:pos="9062"/>
        </w:tabs>
        <w:rPr>
          <w:noProof/>
        </w:rPr>
      </w:pPr>
      <w:r w:rsidRPr="00B77A01">
        <w:fldChar w:fldCharType="begin"/>
      </w:r>
      <w:r w:rsidRPr="00B77A01">
        <w:instrText xml:space="preserve"> TOC \o "1-3" \h \z \u </w:instrText>
      </w:r>
      <w:r w:rsidRPr="00B77A01">
        <w:fldChar w:fldCharType="separate"/>
      </w:r>
      <w:hyperlink w:anchor="_Toc414264383" w:history="1">
        <w:r w:rsidRPr="00E54B0E">
          <w:rPr>
            <w:rStyle w:val="Hiperveza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_Toc414264383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84" w:history="1">
        <w:r w:rsidR="00D420E0" w:rsidRPr="00E54B0E">
          <w:rPr>
            <w:rStyle w:val="Hiperveza"/>
            <w:noProof/>
          </w:rPr>
          <w:t>Strateški okvir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_Toc414264384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14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85" w:history="1">
        <w:r w:rsidR="00D420E0" w:rsidRPr="00E54B0E">
          <w:rPr>
            <w:rStyle w:val="Hiperveza"/>
            <w:noProof/>
          </w:rPr>
          <w:t>Vodeće vrijednosti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_Toc414264385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15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86" w:history="1">
        <w:r w:rsidR="00D420E0" w:rsidRPr="00E54B0E">
          <w:rPr>
            <w:rStyle w:val="Hiperveza"/>
            <w:noProof/>
          </w:rPr>
          <w:t>Povezanost s drugim značajnim problemima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_Toc414264386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16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2"/>
        <w:tabs>
          <w:tab w:val="right" w:leader="dot" w:pos="9062"/>
        </w:tabs>
        <w:rPr>
          <w:noProof/>
        </w:rPr>
      </w:pPr>
      <w:hyperlink w:anchor="_Toc414264387" w:history="1">
        <w:r w:rsidR="00D420E0" w:rsidRPr="00E54B0E">
          <w:rPr>
            <w:rStyle w:val="Hiperveza"/>
            <w:noProof/>
          </w:rPr>
          <w:t>Zarazne bolesti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_Toc414264387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17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2"/>
        <w:tabs>
          <w:tab w:val="right" w:leader="dot" w:pos="9062"/>
        </w:tabs>
        <w:rPr>
          <w:noProof/>
        </w:rPr>
      </w:pPr>
      <w:hyperlink w:anchor="_Toc414264388" w:history="1">
        <w:r w:rsidR="00D420E0" w:rsidRPr="00E54B0E">
          <w:rPr>
            <w:rStyle w:val="Hiperveza"/>
            <w:noProof/>
          </w:rPr>
          <w:t>Okoliš i zdravlje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_Toc414264388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17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2"/>
        <w:tabs>
          <w:tab w:val="right" w:leader="dot" w:pos="9062"/>
        </w:tabs>
        <w:rPr>
          <w:noProof/>
        </w:rPr>
      </w:pPr>
      <w:hyperlink w:anchor="_Toc414264389" w:history="1">
        <w:r w:rsidR="00D420E0" w:rsidRPr="00E54B0E">
          <w:rPr>
            <w:rStyle w:val="Hiperveza"/>
            <w:noProof/>
          </w:rPr>
          <w:t>Ozljede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_Toc414264389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18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90" w:history="1">
        <w:r w:rsidR="00D420E0" w:rsidRPr="00E54B0E">
          <w:rPr>
            <w:rStyle w:val="Hiperveza"/>
            <w:noProof/>
          </w:rPr>
          <w:t>Prioritetne intervencije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_Toc414264390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19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91" w:history="1">
        <w:r w:rsidR="00D420E0" w:rsidRPr="00E54B0E">
          <w:rPr>
            <w:rStyle w:val="Hiperveza"/>
            <w:noProof/>
          </w:rPr>
          <w:t>Kronične nezarazne bolesti – prevencija i Akcijski plan 2015. – 2020. za Hrvatsku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_Toc414264391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19</w:t>
        </w:r>
        <w:r w:rsidR="00D420E0">
          <w:rPr>
            <w:noProof/>
            <w:webHidden/>
          </w:rPr>
          <w:fldChar w:fldCharType="end"/>
        </w:r>
      </w:hyperlink>
    </w:p>
    <w:p w:rsidR="00D420E0" w:rsidRDefault="00A41E51">
      <w:pPr>
        <w:pStyle w:val="Sadraj1"/>
        <w:tabs>
          <w:tab w:val="right" w:leader="dot" w:pos="9062"/>
        </w:tabs>
        <w:rPr>
          <w:noProof/>
        </w:rPr>
      </w:pPr>
      <w:hyperlink w:anchor="_Toc414264392" w:history="1">
        <w:r w:rsidR="00D420E0" w:rsidRPr="00E54B0E">
          <w:rPr>
            <w:rStyle w:val="Hiperveza"/>
            <w:noProof/>
          </w:rPr>
          <w:t>Sažetak</w:t>
        </w:r>
        <w:r w:rsidR="00D420E0">
          <w:rPr>
            <w:noProof/>
            <w:webHidden/>
          </w:rPr>
          <w:tab/>
        </w:r>
        <w:r w:rsidR="00D420E0">
          <w:rPr>
            <w:noProof/>
            <w:webHidden/>
          </w:rPr>
          <w:fldChar w:fldCharType="begin"/>
        </w:r>
        <w:r w:rsidR="00D420E0">
          <w:rPr>
            <w:noProof/>
            <w:webHidden/>
          </w:rPr>
          <w:instrText xml:space="preserve"> PAGEREF _Toc414264392 \h </w:instrText>
        </w:r>
        <w:r w:rsidR="00D420E0">
          <w:rPr>
            <w:noProof/>
            <w:webHidden/>
          </w:rPr>
        </w:r>
        <w:r w:rsidR="00D420E0">
          <w:rPr>
            <w:noProof/>
            <w:webHidden/>
          </w:rPr>
          <w:fldChar w:fldCharType="separate"/>
        </w:r>
        <w:r w:rsidR="00D420E0">
          <w:rPr>
            <w:noProof/>
            <w:webHidden/>
          </w:rPr>
          <w:t>53</w:t>
        </w:r>
        <w:r w:rsidR="00D420E0">
          <w:rPr>
            <w:noProof/>
            <w:webHidden/>
          </w:rPr>
          <w:fldChar w:fldCharType="end"/>
        </w:r>
      </w:hyperlink>
    </w:p>
    <w:p w:rsidR="00D420E0" w:rsidRPr="00B77A01" w:rsidRDefault="00D420E0" w:rsidP="000E0E42">
      <w:pPr>
        <w:rPr>
          <w:noProof/>
        </w:rPr>
      </w:pPr>
      <w:r w:rsidRPr="00B77A01">
        <w:fldChar w:fldCharType="end"/>
      </w: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F85F95">
      <w:pPr>
        <w:spacing w:after="0" w:line="360" w:lineRule="auto"/>
        <w:jc w:val="right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Pr="00B77A01" w:rsidRDefault="00D420E0" w:rsidP="00743A84">
      <w:pPr>
        <w:spacing w:after="0" w:line="360" w:lineRule="auto"/>
        <w:rPr>
          <w:b/>
          <w:sz w:val="24"/>
          <w:szCs w:val="24"/>
        </w:rPr>
      </w:pPr>
    </w:p>
    <w:p w:rsidR="00D420E0" w:rsidRPr="00B77A01" w:rsidRDefault="00D420E0" w:rsidP="00861DA1">
      <w:pPr>
        <w:pStyle w:val="Naslov1"/>
      </w:pPr>
      <w:bookmarkStart w:id="1" w:name="_Toc410376394"/>
      <w:bookmarkStart w:id="2" w:name="_Toc414264383"/>
      <w:r w:rsidRPr="00B77A01">
        <w:lastRenderedPageBreak/>
        <w:t>Uvod</w:t>
      </w:r>
      <w:bookmarkEnd w:id="1"/>
      <w:bookmarkEnd w:id="2"/>
    </w:p>
    <w:p w:rsidR="00D420E0" w:rsidRPr="00C06020" w:rsidRDefault="00D420E0" w:rsidP="00966B18">
      <w:pPr>
        <w:spacing w:after="80" w:line="360" w:lineRule="auto"/>
        <w:jc w:val="both"/>
      </w:pPr>
      <w:r w:rsidRPr="00C06020">
        <w:t>Stanovništvo Republike Hrvatske završilo je svoju “demografsku tranziciju“ i ubraja se u “stara stanovništva“ s visokim udjelom stanovništva starijeg od 65 godina. Trendovi ukazuju na loše stanje “demografskog zdravlja“ što predstavlja značajan izazov za održivi razvoj društva u cjelini, ali i za sam zdravstveni sustav koji će morati odgovoriti na zdravstvene potrebe sve većeg broja starijeg stanovništva.</w:t>
      </w:r>
    </w:p>
    <w:p w:rsidR="00D420E0" w:rsidRPr="00C06020" w:rsidRDefault="00D420E0" w:rsidP="00966B18">
      <w:pPr>
        <w:spacing w:after="80" w:line="360" w:lineRule="auto"/>
        <w:jc w:val="both"/>
      </w:pPr>
      <w:r w:rsidRPr="00C06020">
        <w:t xml:space="preserve">Teret bolesti koje nosi stanovništvo Republike Hrvatske govori da je ono prošlo kroz "epidemiološku tranziciju" iz vremena u kojima su najveći teret za stanovništvo bile zarazne bolesti, u vrijeme u kojem su to postale kronične nezarazne bolesti (u daljnjem tekstu: KNB). </w:t>
      </w:r>
    </w:p>
    <w:p w:rsidR="00D420E0" w:rsidRPr="00B77A01" w:rsidRDefault="00D420E0" w:rsidP="00966B18">
      <w:pPr>
        <w:spacing w:after="80" w:line="360" w:lineRule="auto"/>
        <w:jc w:val="both"/>
      </w:pPr>
      <w:r w:rsidRPr="00C06020">
        <w:t>KNB imaju najveći doprinos teretu bolesti koje danas nosi stanovništvo Republike Hrvatske</w:t>
      </w:r>
      <w:r w:rsidRPr="00B77A01">
        <w:t xml:space="preserve">. </w:t>
      </w:r>
      <w:r w:rsidRPr="00B77A01">
        <w:rPr>
          <w:b/>
        </w:rPr>
        <w:t>Bolesti srca i krvnih žila (</w:t>
      </w:r>
      <w:r>
        <w:rPr>
          <w:b/>
        </w:rPr>
        <w:t>u daljnjemm tesktu:</w:t>
      </w:r>
      <w:r w:rsidRPr="00B77A01">
        <w:rPr>
          <w:b/>
        </w:rPr>
        <w:t xml:space="preserve"> KVB)</w:t>
      </w:r>
      <w:r w:rsidRPr="00B77A01">
        <w:t xml:space="preserve"> od kojih godišnje umire oko 25.000 osoba vodeći su uzrok smrtnosti i pobola, i najviše doprinose teretu bolesti. U 2013. godini umrlo je 24 232 osoba od KVB, a od toga 13.787 žena i 10.445 muškarca. One su uzrok smrti u 54,3% umrlih žena i 41,8% umrlih muškaraca. U dobnoj skupini do 65 godina KVB drugi su uzrok smrtnosti s 2.529 umrlih, odnosno udjelom od 25,8% u mortalitetu te dobne skupine. Na prvom mjestu uzroka smrti u toj dobi su maligne bolesti s 4.115 umrlih, odnosno udjelom od 41,9%. Najčešće dijagnostičke podskupine kao uzrok smrti su ishemijske bolesti srca s udjelom od 21,3% i cerebrovaskularne bolesti s udjelom od 14,4% u ukupnom mortalitetu. Analiza smrtnosti prema dobi u muškaraca i žena pokazuje da dobno-specifične stope smrtnosti za KVB rastu s dobi i više su u muškaraca nego u žena u svim dobnim skupinama. Intenzivniji porast smrtnosti počinje u dobi iznad 50 godina. U dobi iznad 65 godina bilježi se 89,6% umrlih od KVB (81,4% muškaraca i 95,7% žena). </w:t>
      </w:r>
    </w:p>
    <w:p w:rsidR="00D420E0" w:rsidRPr="00B77A01" w:rsidRDefault="00D420E0" w:rsidP="00966B18">
      <w:pPr>
        <w:spacing w:after="80" w:line="360" w:lineRule="auto"/>
        <w:jc w:val="both"/>
      </w:pPr>
      <w:r w:rsidRPr="00B77A01">
        <w:t xml:space="preserve">Analizirajući kretanje smrtnosti od KVB uočava se trend smanjenja smrtnosti posljednjih deset godina, što je izraženije za cerebrovaskularne bolesti, nego za ishemijsku bolest srca i to osobito za dob 0-64 godine. Dobno standardizirana stopa smrtnosti od kardiovaskularnih bolesti ukupno u Hrvatskoj 2000. godine iznosila je 572,7/100.000, a do 2012. godine pala je na 342,1/100.000, što je pad smrtnosti za 40,3%. </w:t>
      </w:r>
    </w:p>
    <w:p w:rsidR="00D420E0" w:rsidRPr="00C06020" w:rsidRDefault="00D420E0" w:rsidP="00966B18">
      <w:pPr>
        <w:spacing w:after="80" w:line="360" w:lineRule="auto"/>
        <w:jc w:val="both"/>
      </w:pPr>
      <w:r w:rsidRPr="00B77A01">
        <w:t xml:space="preserve">Za ishemijsku bolest srca pad smrtnosti u tom razdoblju iznosi 21,3%, a za cerebrovaskularne bolesti 45,1%. U dobnoj skupini do 64 godine pad smrtnosti za kardiovaskularne bolesti iznosi 36% u tom razdoblju. </w:t>
      </w:r>
    </w:p>
    <w:p w:rsidR="00D420E0" w:rsidRPr="00B77A01" w:rsidRDefault="00D420E0" w:rsidP="00966B18">
      <w:pPr>
        <w:spacing w:after="80" w:line="360" w:lineRule="auto"/>
        <w:jc w:val="both"/>
      </w:pPr>
      <w:r w:rsidRPr="00C06020">
        <w:t>U odnosu na druge europske zemlje Republika Hrvatska sa standardiziranom stopom smrtnosti za KVB od 342,1/100.000 je na nivou europskih zemalja koje imaju srednje visoke stope smrtnosti. Prosjek za »stare« zemlje članice Europske unije (u daljnjem tesktu:EU) prije 2004. godine iznosi 160,1/100.000, a za zemlje članice EU koje su pristupile od 2004. godine 403,8/100.000. U usporedbi s Hrvatskom susjedna Republika Slovenija</w:t>
      </w:r>
      <w:r w:rsidRPr="00B77A01">
        <w:t xml:space="preserve"> ima znatno nižu stopu smrtnosti od kardiovaskularnih </w:t>
      </w:r>
      <w:r w:rsidRPr="00B77A01">
        <w:lastRenderedPageBreak/>
        <w:t xml:space="preserve">bolesti 218,4/100.000, a </w:t>
      </w:r>
      <w:r w:rsidRPr="00C06020">
        <w:t>Republika Češka</w:t>
      </w:r>
      <w:r w:rsidRPr="00B77A01">
        <w:t xml:space="preserve"> malo nižu od Hrvatske 325,1/100.000. Većina zemalja Istočne Europe ima uglavnom više stope smrtnosti od Hrvatske, a zemlje Zapadne i Južne </w:t>
      </w:r>
      <w:r>
        <w:t xml:space="preserve">Europe </w:t>
      </w:r>
      <w:r w:rsidRPr="00B77A01">
        <w:t>(mediteranske</w:t>
      </w:r>
      <w:r>
        <w:t xml:space="preserve"> zemlje)</w:t>
      </w:r>
      <w:r w:rsidRPr="00B77A01">
        <w:t xml:space="preserve"> imaju znatno niže stope smrtnosti od Hrvatske sa stalnim trendom smanjenja. </w:t>
      </w:r>
    </w:p>
    <w:p w:rsidR="00D420E0" w:rsidRPr="00B77A01" w:rsidRDefault="001D433B" w:rsidP="00743A84">
      <w:pPr>
        <w:spacing w:after="0" w:line="360" w:lineRule="auto"/>
        <w:jc w:val="both"/>
      </w:pPr>
      <w:r>
        <w:rPr>
          <w:noProof/>
        </w:rPr>
        <w:drawing>
          <wp:inline distT="0" distB="0" distL="0" distR="0">
            <wp:extent cx="5391150" cy="30480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0E0" w:rsidRPr="00C06020" w:rsidRDefault="00D420E0" w:rsidP="0011591A">
      <w:pPr>
        <w:jc w:val="both"/>
        <w:rPr>
          <w:szCs w:val="20"/>
          <w:lang w:eastAsia="zh-CN"/>
        </w:rPr>
      </w:pPr>
      <w:r w:rsidRPr="00C06020">
        <w:rPr>
          <w:sz w:val="20"/>
          <w:szCs w:val="20"/>
        </w:rPr>
        <w:t xml:space="preserve">Slika 1. </w:t>
      </w:r>
      <w:r w:rsidRPr="00C06020">
        <w:rPr>
          <w:sz w:val="20"/>
          <w:szCs w:val="20"/>
          <w:lang w:eastAsia="zh-CN"/>
        </w:rPr>
        <w:t xml:space="preserve">Standardizirane stope smrtnosti, bolesti cirkulatornog sustava, sve dobne skupine, na 100 000. Izvor: </w:t>
      </w:r>
      <w:r w:rsidRPr="00C06020">
        <w:rPr>
          <w:szCs w:val="20"/>
          <w:lang w:eastAsia="zh-CN"/>
        </w:rPr>
        <w:t>Baza podataka Zdravlje za sve, Svjetska zdravstvena organizacija</w:t>
      </w:r>
    </w:p>
    <w:p w:rsidR="00D420E0" w:rsidRPr="00B77A01" w:rsidRDefault="00D420E0" w:rsidP="00966B18">
      <w:pPr>
        <w:spacing w:after="80" w:line="360" w:lineRule="auto"/>
        <w:jc w:val="both"/>
      </w:pPr>
      <w:r w:rsidRPr="00B77A01">
        <w:t>Iako je zadnjih desetak godina prisutan trend smanjenja smrtnosti od KVB, one i dalje predstavljaju vodeći uzrok smrtnosti i pobola. U usporedbi s drugim europskim zemljama sa standardiziranom stopom smrtnosti za KVB od 342.1/100.000, Hrvatska je među onim europskim zemljama  koje bilježe srednje i visoke razine stope smrtnosti. No, imajući u vidu starenje populacije, sveprisutnu globalizaciju i urbanizaciju, socioekonomsku situaciju, visoku prevalenciju nekih čimbenika rizika kao što je pretilost i dijabetes, moguće je očekivati sve veće opterećenje kardiovaskularnim bolestima, ako se ne poduzmu sveobuhvatne mjere prevencije. Bez ulaganja u prevenciju i kontrolu kardiovaskularnih bolesti, nije realno ni očekivati značajno smanjenje  pobola i smrtnosti u sljedećim godinama kao ni očekivati ostvaranje postavljenog cilja za smanjenje smrtnosti od KVB-a za 25% do 2025. godine.</w:t>
      </w:r>
    </w:p>
    <w:p w:rsidR="00D420E0" w:rsidRPr="00B77A01" w:rsidRDefault="00D420E0" w:rsidP="008D025C">
      <w:pPr>
        <w:spacing w:after="0" w:line="360" w:lineRule="auto"/>
        <w:jc w:val="both"/>
      </w:pPr>
    </w:p>
    <w:p w:rsidR="00D420E0" w:rsidRPr="00B77A01" w:rsidRDefault="00D420E0" w:rsidP="009F616F">
      <w:pPr>
        <w:spacing w:after="80" w:line="360" w:lineRule="auto"/>
        <w:jc w:val="both"/>
      </w:pPr>
      <w:r w:rsidRPr="00B77A01">
        <w:t xml:space="preserve">Hrvatska u ovom trenutku nema strategiju prevencije i kontrole bolesti srca i krvnih žila. Nacionalni program prevencije kardiovaskularnih bolesti donesen je u rujnu 2001. </w:t>
      </w:r>
      <w:r>
        <w:t>g</w:t>
      </w:r>
      <w:r w:rsidRPr="00B77A01">
        <w:t>odine</w:t>
      </w:r>
      <w:r>
        <w:t>,</w:t>
      </w:r>
      <w:r w:rsidRPr="00B77A01">
        <w:t xml:space="preserve"> međutim do njegove operacionalizacije i sustavnog provođenja nije došlo. </w:t>
      </w:r>
    </w:p>
    <w:p w:rsidR="00D420E0" w:rsidRPr="00B77A01" w:rsidRDefault="00D420E0" w:rsidP="004A7E1A">
      <w:pPr>
        <w:spacing w:after="0" w:line="360" w:lineRule="auto"/>
        <w:jc w:val="both"/>
      </w:pPr>
      <w:r w:rsidRPr="00B77A01">
        <w:t xml:space="preserve">Definiranje strateških okvira za provođenje mjera primarne, sekundarne prevencije i kontrolu bolesti srca i krvnih žila preduvjet je za učinkovito smanjenje tereta ovih bolesti koje nosi stanovništvo. </w:t>
      </w:r>
    </w:p>
    <w:p w:rsidR="00D420E0" w:rsidRPr="00B77A01" w:rsidRDefault="00D420E0" w:rsidP="00743A84">
      <w:pPr>
        <w:spacing w:after="0" w:line="360" w:lineRule="auto"/>
        <w:jc w:val="both"/>
      </w:pPr>
      <w:r w:rsidRPr="00B77A01">
        <w:rPr>
          <w:b/>
        </w:rPr>
        <w:lastRenderedPageBreak/>
        <w:t>Arterijska hipertenzija</w:t>
      </w:r>
      <w:r>
        <w:rPr>
          <w:b/>
        </w:rPr>
        <w:t xml:space="preserve"> </w:t>
      </w:r>
      <w:r w:rsidRPr="00B77A01">
        <w:t>jedan je od najvažnijih nezavisnih faktora rizika od bolesti srca</w:t>
      </w:r>
      <w:r>
        <w:t xml:space="preserve"> i</w:t>
      </w:r>
      <w:r w:rsidRPr="00B77A01">
        <w:t xml:space="preserve"> krvnih žila. Prevalencija arterijske hipertenzije veća je nego prije nekoliko desetljeća </w:t>
      </w:r>
      <w:r>
        <w:t xml:space="preserve">i </w:t>
      </w:r>
      <w:r w:rsidRPr="00B77A01">
        <w:t>iznosi</w:t>
      </w:r>
      <w:r>
        <w:t xml:space="preserve"> </w:t>
      </w:r>
      <w:r w:rsidRPr="00B77A01">
        <w:t>otprilike 40%. Nekontrolirana arterijska hipertenzija važan je javnozdravstveni problem. Podizanje svijesti o tom problem</w:t>
      </w:r>
      <w:r>
        <w:t>u,</w:t>
      </w:r>
      <w:r w:rsidRPr="00B77A01">
        <w:t xml:space="preserve"> rano otkrivanje</w:t>
      </w:r>
      <w:r>
        <w:t xml:space="preserve"> i</w:t>
      </w:r>
      <w:r w:rsidRPr="00B77A01">
        <w:t xml:space="preserve"> poticanje stanovništva da se pridržavaju  terapije za povišeni krvni tlak , zajedno sa zdravim načinom života, važni su za uspješnu kontrolu i smanjenje štete.</w:t>
      </w:r>
    </w:p>
    <w:p w:rsidR="00D420E0" w:rsidRPr="00B77A01" w:rsidRDefault="00D420E0" w:rsidP="009F616F">
      <w:pPr>
        <w:spacing w:line="360" w:lineRule="auto"/>
        <w:jc w:val="both"/>
      </w:pPr>
      <w:r w:rsidRPr="00B77A01">
        <w:t xml:space="preserve">Prema procjenama IDF-a, prevalencija </w:t>
      </w:r>
      <w:r w:rsidRPr="009D61D7">
        <w:rPr>
          <w:b/>
        </w:rPr>
        <w:t>šećerne bolesti</w:t>
      </w:r>
      <w:r w:rsidRPr="00B77A01">
        <w:t xml:space="preserve"> za dobnu skupinu od 20-79 godina starosti u svijetu za 2014. godinu iznosila je 8,3%, a u Europi 7,9%. Prema podacima CroDiab registra osoba sa šećernom bolešću u Hrvatskoj je 2013. </w:t>
      </w:r>
      <w:r>
        <w:t xml:space="preserve">godine </w:t>
      </w:r>
      <w:r w:rsidRPr="00B77A01">
        <w:t>bilo 241990 odraslih osoba sa šećernom bolešću. Šećerna bolest nalazila se na 8. mjestu ljestvice vodećih uzroka smrti u 2013.</w:t>
      </w:r>
      <w:r>
        <w:t xml:space="preserve"> godini</w:t>
      </w:r>
      <w:r w:rsidRPr="00B77A01">
        <w:t>, s 2,47% udjela u ukupnoj smrtnosti i s prisutnim trendom porasta posljednjih desetljeća, sa standardiziranim i kumulativnim stopama mortaliteta za sve dobne skupine višim od onih u Europskoj regiji i EU. Nacionalni program za šećernu bolest prvi je puta pokrenut 2007. godine kao „Nacionalni program zaštite osoba sa šećernom bolešću s posebnim ciljem prevencije bolesti“. Program je inicijalno</w:t>
      </w:r>
      <w:r>
        <w:t xml:space="preserve"> </w:t>
      </w:r>
      <w:r w:rsidRPr="00B77A01">
        <w:t>donesen na razdoblje od pet godina, a aktivnosti koje je program definirao kontinuirano se provode nakon završetka definiranog razdoblja 2012. godine.</w:t>
      </w:r>
    </w:p>
    <w:p w:rsidR="00D420E0" w:rsidRPr="00B77A01" w:rsidRDefault="00D420E0" w:rsidP="00C9542A">
      <w:pPr>
        <w:autoSpaceDE w:val="0"/>
        <w:autoSpaceDN w:val="0"/>
        <w:adjustRightInd w:val="0"/>
        <w:spacing w:after="0" w:line="360" w:lineRule="auto"/>
        <w:jc w:val="both"/>
      </w:pPr>
      <w:r w:rsidRPr="00B77A01">
        <w:t xml:space="preserve">S obzirom na rastuće trendove stopa smrtnosti u zadnjih nekoliko desetljeća, s time da su standardizirane </w:t>
      </w:r>
      <w:r>
        <w:t>i</w:t>
      </w:r>
      <w:r w:rsidRPr="00B77A01">
        <w:t xml:space="preserve"> kumulativne stope smrtnosti za sve dobne skupi</w:t>
      </w:r>
      <w:r>
        <w:t>ne više od onih u E</w:t>
      </w:r>
      <w:r w:rsidRPr="00B77A01">
        <w:t>uropskoj regiji I EU, šećerna bolest postaje rastuće javnozdravstveno pitanje.</w:t>
      </w:r>
    </w:p>
    <w:p w:rsidR="00D420E0" w:rsidRPr="00B77A01" w:rsidRDefault="001D433B" w:rsidP="00C9542A">
      <w:pPr>
        <w:autoSpaceDE w:val="0"/>
        <w:autoSpaceDN w:val="0"/>
        <w:adjustRightInd w:val="0"/>
        <w:spacing w:after="0" w:line="360" w:lineRule="auto"/>
        <w:jc w:val="both"/>
      </w:pPr>
      <w:r>
        <w:rPr>
          <w:noProof/>
        </w:rPr>
        <w:drawing>
          <wp:inline distT="0" distB="0" distL="0" distR="0">
            <wp:extent cx="5240655" cy="3049905"/>
            <wp:effectExtent l="0" t="0" r="17145" b="17145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0E0" w:rsidRPr="00C06020" w:rsidRDefault="00D420E0" w:rsidP="00B3285D">
      <w:pPr>
        <w:jc w:val="both"/>
        <w:rPr>
          <w:sz w:val="20"/>
          <w:szCs w:val="20"/>
          <w:lang w:eastAsia="zh-CN"/>
        </w:rPr>
      </w:pPr>
      <w:r w:rsidRPr="00C06020">
        <w:rPr>
          <w:sz w:val="20"/>
          <w:szCs w:val="20"/>
        </w:rPr>
        <w:t xml:space="preserve">Slika 2. </w:t>
      </w:r>
      <w:r w:rsidRPr="00C06020">
        <w:rPr>
          <w:sz w:val="20"/>
          <w:szCs w:val="20"/>
          <w:lang w:eastAsia="zh-CN"/>
        </w:rPr>
        <w:t>Standardizirane stope smrtnosti, šećerna bolest, sve dobne skupine, na 100 000. Izvor: Baza podataka Zdravlje za sve, Svjetska zdravstvena organizacija</w:t>
      </w:r>
    </w:p>
    <w:p w:rsidR="00D420E0" w:rsidRPr="00B77A01" w:rsidRDefault="00D420E0" w:rsidP="00C83538">
      <w:pPr>
        <w:spacing w:line="360" w:lineRule="auto"/>
        <w:jc w:val="both"/>
      </w:pPr>
      <w:r w:rsidRPr="00C06020">
        <w:rPr>
          <w:rFonts w:cs="Calibri"/>
        </w:rPr>
        <w:t>Smjernice za razvoj nacionalnih programa šećerne bolesti</w:t>
      </w:r>
      <w:r>
        <w:rPr>
          <w:rFonts w:cs="Calibri"/>
        </w:rPr>
        <w:t xml:space="preserve"> </w:t>
      </w:r>
      <w:r w:rsidRPr="00C06020">
        <w:rPr>
          <w:rFonts w:cs="Calibri"/>
        </w:rPr>
        <w:t>Svjetske zdravstvene organizacije (u daljnjem tek</w:t>
      </w:r>
      <w:r>
        <w:rPr>
          <w:rFonts w:cs="Calibri"/>
        </w:rPr>
        <w:t>s</w:t>
      </w:r>
      <w:r w:rsidRPr="00C06020">
        <w:rPr>
          <w:rFonts w:cs="Calibri"/>
        </w:rPr>
        <w:t xml:space="preserve">tu: SZO),SZO i IDF standardi, Bečka </w:t>
      </w:r>
      <w:r w:rsidRPr="00B77A01">
        <w:rPr>
          <w:rFonts w:cs="Calibri"/>
        </w:rPr>
        <w:t xml:space="preserve">deklaracija EU o šećernoj bolesti i Deklaracija o </w:t>
      </w:r>
      <w:r w:rsidRPr="00B77A01">
        <w:rPr>
          <w:rFonts w:cs="Calibri"/>
        </w:rPr>
        <w:lastRenderedPageBreak/>
        <w:t xml:space="preserve">prevenciji i kontroli KNB </w:t>
      </w:r>
      <w:r>
        <w:rPr>
          <w:rFonts w:cs="Calibri"/>
        </w:rPr>
        <w:t>Ujedinjenih naroda (u daljnjem tekstu: UN)</w:t>
      </w:r>
      <w:r w:rsidRPr="00B77A01">
        <w:rPr>
          <w:rFonts w:cs="Calibri"/>
        </w:rPr>
        <w:t>, Strateški plan Ministarstva zdravlja 2014-2016 i Rezolucija o šećernoj bole</w:t>
      </w:r>
      <w:r>
        <w:rPr>
          <w:rFonts w:cs="Calibri"/>
        </w:rPr>
        <w:t>sti Hrvatskog s</w:t>
      </w:r>
      <w:r w:rsidRPr="00B77A01">
        <w:rPr>
          <w:rFonts w:cs="Calibri"/>
        </w:rPr>
        <w:t xml:space="preserve">abora definiraju jasan okvir nacionalnog programa za šećernu bolest u </w:t>
      </w:r>
      <w:r>
        <w:rPr>
          <w:rFonts w:cs="Calibri"/>
        </w:rPr>
        <w:t>Republici Hrvatskoj</w:t>
      </w:r>
      <w:r w:rsidRPr="00B77A01">
        <w:rPr>
          <w:rFonts w:cs="Calibri"/>
        </w:rPr>
        <w:t>. Nacionalni program za šećernu bolest prvi je puta donesen 2007. pod nazivom Nacionalni program zdravstvene zaštite osoba sa šećernom bolešću s posebnim ciljem prevencije bolesti, a analizom rezultata provedbe istog evidentirano je djelomično dosizanje postavljanih ciljeva.Program je inicijalno donesen na razdoblje od 5 godina, a i nakon isteka definiranog razdoblja, 2012. godine, i dalje se kontinuirano provode aktivnosti definirane programom.</w:t>
      </w:r>
    </w:p>
    <w:p w:rsidR="00D420E0" w:rsidRPr="00B77A01" w:rsidRDefault="00D420E0" w:rsidP="009F616F">
      <w:pPr>
        <w:spacing w:line="360" w:lineRule="auto"/>
        <w:jc w:val="both"/>
        <w:rPr>
          <w:rFonts w:cs="Calibri"/>
        </w:rPr>
      </w:pPr>
      <w:r w:rsidRPr="00B77A01">
        <w:rPr>
          <w:rFonts w:cs="Calibri"/>
          <w:b/>
        </w:rPr>
        <w:t>Zloćudne novotvorine (rak)</w:t>
      </w:r>
      <w:r w:rsidRPr="00B77A01">
        <w:rPr>
          <w:rFonts w:cs="Calibri"/>
        </w:rPr>
        <w:t xml:space="preserve"> zauzimaju sve veći udio u teretu bolesti kojeg nosi stanovništvo i s udjelom od 27,8% na drugom su mjestu svih uzroka smrti. 2012. godine zabilježeno je ukupno 20.664 novooboljelih od raka (nije uključen rak kože), 11.219 muškaraca i 9.445 žena, a umrla je 13.704 osoba (7.904 muškarca i 5.800 žena). Najčešća sijela raka u muškaraca u 2012. godini bila su bronh</w:t>
      </w:r>
      <w:r>
        <w:rPr>
          <w:rFonts w:cs="Calibri"/>
        </w:rPr>
        <w:t>i</w:t>
      </w:r>
      <w:r w:rsidRPr="00B77A01">
        <w:rPr>
          <w:rFonts w:cs="Calibri"/>
        </w:rPr>
        <w:t xml:space="preserve"> i pluća (2.046 novih</w:t>
      </w:r>
      <w:r>
        <w:rPr>
          <w:rFonts w:cs="Calibri"/>
        </w:rPr>
        <w:t xml:space="preserve"> </w:t>
      </w:r>
      <w:r w:rsidRPr="00B77A01">
        <w:rPr>
          <w:rFonts w:cs="Calibri"/>
        </w:rPr>
        <w:t>bolesnika), prostata (1.758 novih bolesnika), debelo crijevo (1.680 novih bolesnika) i mokraćn</w:t>
      </w:r>
      <w:r>
        <w:rPr>
          <w:rFonts w:cs="Calibri"/>
        </w:rPr>
        <w:t>i</w:t>
      </w:r>
      <w:r w:rsidRPr="00B77A01">
        <w:rPr>
          <w:rFonts w:cs="Calibri"/>
        </w:rPr>
        <w:t xml:space="preserve"> mjehur (788 novih bolesnika). U žena su najčešća sijela raka dojka (2.227 novih bolesnica), debelo crijevo (1.261 novih bolesnica), bronhi i pluća (674 novih bolesnica) te tijelo maternice (651 nova bolesnica). U proteklom desetljeću ukupni mortalitet povezan s malignim bolestima u Hrvatskoj je stabilan. </w:t>
      </w:r>
    </w:p>
    <w:p w:rsidR="00D420E0" w:rsidRPr="00B77A01" w:rsidRDefault="00D420E0" w:rsidP="009F616F">
      <w:pPr>
        <w:spacing w:line="360" w:lineRule="auto"/>
        <w:jc w:val="both"/>
      </w:pPr>
      <w:r w:rsidRPr="00B77A01">
        <w:t xml:space="preserve">Rak dojke najčešće je sijelo raka u žena prema incidenciji i mortalitetu. Incidencija raka dojke je u porastu, dok je mortalitet konstantan. U usporedbi s ostalim europskim zemljama, Hrvatska je područje intermedijarne incidencije i smrtnosti od raka dojke. Trendovi smrtnosti su nepovoljniji od onih u zapadnoeuropskim zemljama gdje se jasan pad smrtnosti bilježi već od 1980-ih kao posljedica napretka u liječenju i uvođenja skrining programa. Hrvatski Nacionalni program ranog otkrivanja raka dojke uveden je krajem 2006. </w:t>
      </w:r>
      <w:r>
        <w:t>g</w:t>
      </w:r>
      <w:r w:rsidRPr="00B77A01">
        <w:t>odine</w:t>
      </w:r>
      <w:r>
        <w:t>. D</w:t>
      </w:r>
      <w:r w:rsidRPr="00B77A01">
        <w:t xml:space="preserve">o sada su uspješno provedena </w:t>
      </w:r>
      <w:r>
        <w:t>tri</w:t>
      </w:r>
      <w:r w:rsidRPr="00B77A01">
        <w:t xml:space="preserve"> ciklusa, a četvrti, koji je započeo sredinom 2014. godine, još je u tijeku. Uvođenje programa odrazilo se na porast incidencije, no još je prerano za uočavanje eventualnih utjecaja na smanjenje smrtnosti. </w:t>
      </w:r>
    </w:p>
    <w:p w:rsidR="00D420E0" w:rsidRPr="00B77A01" w:rsidRDefault="001D433B" w:rsidP="00743A84">
      <w:pPr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133340" cy="3051175"/>
            <wp:effectExtent l="0" t="0" r="10160" b="1587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0E0" w:rsidRPr="00C06020" w:rsidRDefault="00D420E0" w:rsidP="00D153D4">
      <w:pPr>
        <w:jc w:val="both"/>
        <w:rPr>
          <w:sz w:val="20"/>
          <w:szCs w:val="20"/>
          <w:lang w:eastAsia="zh-CN"/>
        </w:rPr>
      </w:pPr>
      <w:r w:rsidRPr="00C06020">
        <w:rPr>
          <w:sz w:val="20"/>
          <w:szCs w:val="20"/>
        </w:rPr>
        <w:t xml:space="preserve">Slika 3. </w:t>
      </w:r>
      <w:r w:rsidRPr="00C06020">
        <w:rPr>
          <w:sz w:val="20"/>
          <w:szCs w:val="20"/>
          <w:lang w:eastAsia="zh-CN"/>
        </w:rPr>
        <w:t>Standardizirane stope smrtnosti, zloćudne novotvorine, sve dobne skupine, na 100 000. Izvor: Baza podataka Zdravlje za sve, Svjetska zdravstvena organizacija</w:t>
      </w:r>
    </w:p>
    <w:p w:rsidR="00D420E0" w:rsidRDefault="00D420E0" w:rsidP="00D153D4">
      <w:pPr>
        <w:jc w:val="both"/>
      </w:pPr>
    </w:p>
    <w:p w:rsidR="00D420E0" w:rsidRPr="00B77A01" w:rsidRDefault="00D420E0" w:rsidP="00D153D4">
      <w:pPr>
        <w:jc w:val="both"/>
      </w:pPr>
      <w:r w:rsidRPr="00B77A01">
        <w:t xml:space="preserve">Rak pluća najčešće je sijelo raka i najčešći uzrok smrti od raka u muškaraca, a treće najčešće sijelo raka i drugi najčešći uzrok smrti od raka u žena. Premda u padu, stope incidencije i smrtnosti od raka pluća u muškaraca su među najvišima u Europi dok su u žena intermedijarne u usporedbi s ostalim europskim zemljama. I u Hrvatskoj se, kao i u drugim zemljama Europe, u žena bilježi povećanje incidencije i smrtnosti. </w:t>
      </w:r>
    </w:p>
    <w:p w:rsidR="00D420E0" w:rsidRPr="00B77A01" w:rsidRDefault="00D420E0" w:rsidP="009F616F">
      <w:pPr>
        <w:spacing w:line="360" w:lineRule="auto"/>
        <w:jc w:val="both"/>
      </w:pPr>
      <w:r w:rsidRPr="00B77A01">
        <w:t xml:space="preserve">Rak debelog crijeva treće je najčešće sijelo raka u muškaraca i drugo najčešće u žena u Hrvatskoj. U Hrvatskoj je incidencija raka debelog crijeva u muškaraca u porastu, a zabrinjava da smo jedna od rijetkih zemalja u Europi u kojoj se bilježi i porast smrtnosti od raka debelog crijeva u muškaraca. Incidencija raka debelog crijeva u žena je stabilna, dok je mortalitet u blagom porastu. Hrvatska se svrstava među pet zemalja s najvišim mortalitetom od raka debelog crijeva u Europi i u skupini muškaraca i žena. Nacionalni program ranog otkrivanja raka debelog crijeva uveden je u Hrvatskoj 2007. godine, no njegovi mogući učinci na mortalitet očekuju se nakon 13 godina od uvođenja programa. </w:t>
      </w:r>
    </w:p>
    <w:p w:rsidR="00D420E0" w:rsidRPr="00B77A01" w:rsidRDefault="00D420E0" w:rsidP="009F616F">
      <w:pPr>
        <w:spacing w:line="360" w:lineRule="auto"/>
        <w:jc w:val="both"/>
      </w:pPr>
      <w:r w:rsidRPr="00C06020">
        <w:t>Kod raka vrata maternice u Hrvatskoj se posljednjih 20-tak godina bilježi trend pada incidencije, dok je trend smrtnosti stabilan. Nacionalni program ranog otkrivanja raka vrata maternice donijela je Vlada Republike Hrvatske u srpnju</w:t>
      </w:r>
      <w:r w:rsidRPr="00B77A01">
        <w:t xml:space="preserve"> 2010. godine, a program se počeo provoditi u prosincu 2012. godine.</w:t>
      </w:r>
    </w:p>
    <w:p w:rsidR="00D420E0" w:rsidRPr="00B77A01" w:rsidRDefault="00D420E0" w:rsidP="009F616F">
      <w:pPr>
        <w:spacing w:line="360" w:lineRule="auto"/>
        <w:jc w:val="both"/>
      </w:pPr>
      <w:r w:rsidRPr="00B77A01">
        <w:lastRenderedPageBreak/>
        <w:t xml:space="preserve">Rak prostate je od 2009. godine na drugom mjestu prema incidenciji raka u muškaraca. U Hrvatskoj se rak prostate nalazi i na visokom trećem mjestu prema mortalitetu u muškaraca (734 umrlih u  2012.). </w:t>
      </w:r>
    </w:p>
    <w:p w:rsidR="00D420E0" w:rsidRPr="00D153D4" w:rsidRDefault="00D420E0" w:rsidP="00CC4361">
      <w:pPr>
        <w:spacing w:after="0" w:line="360" w:lineRule="auto"/>
        <w:jc w:val="both"/>
      </w:pPr>
      <w:r w:rsidRPr="00B77A01">
        <w:t>Nacionalni program zaštite osoba s</w:t>
      </w:r>
      <w:r>
        <w:t xml:space="preserve"> </w:t>
      </w:r>
      <w:r w:rsidRPr="00B77A01">
        <w:t>malignim bolestima koji bi mogao povezati sve dionik</w:t>
      </w:r>
      <w:r>
        <w:t>e</w:t>
      </w:r>
      <w:r w:rsidRPr="00B77A01">
        <w:t xml:space="preserve"> u definiranju i primjeni </w:t>
      </w:r>
      <w:r w:rsidRPr="00D153D4">
        <w:t>primarnih, sekundarnih i tercijarnih mjera zaštite u Hrvatskoj do sada nije postojao.</w:t>
      </w:r>
    </w:p>
    <w:p w:rsidR="00D420E0" w:rsidRPr="00B77A01" w:rsidRDefault="00D420E0" w:rsidP="00743A84">
      <w:pPr>
        <w:spacing w:after="0" w:line="360" w:lineRule="auto"/>
        <w:jc w:val="both"/>
      </w:pPr>
    </w:p>
    <w:p w:rsidR="00D420E0" w:rsidRPr="00B77A01" w:rsidRDefault="00D420E0" w:rsidP="00743A84">
      <w:pPr>
        <w:spacing w:after="0" w:line="360" w:lineRule="auto"/>
        <w:jc w:val="both"/>
      </w:pPr>
      <w:r w:rsidRPr="00B77A01">
        <w:rPr>
          <w:b/>
        </w:rPr>
        <w:t>Kronične bolesti dišnog sustava</w:t>
      </w:r>
      <w:r>
        <w:rPr>
          <w:b/>
        </w:rPr>
        <w:t xml:space="preserve"> </w:t>
      </w:r>
      <w:r w:rsidRPr="00B77A01">
        <w:t>sudjelovale su s 3,4% ukupne</w:t>
      </w:r>
      <w:r>
        <w:t xml:space="preserve"> </w:t>
      </w:r>
      <w:r w:rsidRPr="00B77A01">
        <w:t>smrtnosti u Hrvatskoj i pokazuju trend rasta. U ovom području zaostajemo za razvijenim europskim državama koje bilježe blago smanjenje trenda smrtnosti. U skladu s projekcijama</w:t>
      </w:r>
      <w:r w:rsidRPr="00C06020">
        <w:t>, do 2020. godine kronična opstruktivna plućna</w:t>
      </w:r>
      <w:r>
        <w:t xml:space="preserve"> </w:t>
      </w:r>
      <w:r w:rsidRPr="00C06020">
        <w:t>bolest zauzet će peto mjesto među uzrocima izgubljenih godina života zbog invalidnosti (u daljnjem tek</w:t>
      </w:r>
      <w:r>
        <w:t>s</w:t>
      </w:r>
      <w:r w:rsidRPr="00C06020">
        <w:t>tu: DALY) i postat će treći vodeći uzrok smrti širom svijeta.Oko 65% osoba oboljelih od kronične opstruktivne plućne bolesti (u daljnjem tekstu: KOPB) nije dijagnosticirano i u skladu s procjenama, kod odrasle populacije u Hrvatskoj postoji prevalencija od 10-15%,</w:t>
      </w:r>
      <w:r w:rsidRPr="00B77A01">
        <w:t xml:space="preserve"> osobito u urbanim uvjetima života gdje je prisutnije zagađenje okoliša.</w:t>
      </w:r>
    </w:p>
    <w:p w:rsidR="00D420E0" w:rsidRPr="00B77A01" w:rsidRDefault="00D420E0" w:rsidP="00D153D4">
      <w:pPr>
        <w:spacing w:line="360" w:lineRule="auto"/>
        <w:jc w:val="both"/>
      </w:pPr>
      <w:r w:rsidRPr="00B77A01">
        <w:t>U ovom području zaostajemo za razvijenim europskim državama koje bilježe blago smanjenje trenda smrtnost. Kronične  bolesti dišnog sustava nisu značajne samo zbog b</w:t>
      </w:r>
      <w:r>
        <w:t>rzog širenja i</w:t>
      </w:r>
      <w:r w:rsidRPr="00B77A01">
        <w:t xml:space="preserve"> utjecan</w:t>
      </w:r>
      <w:r>
        <w:t>j</w:t>
      </w:r>
      <w:r w:rsidRPr="00B77A01">
        <w:t xml:space="preserve">a na </w:t>
      </w:r>
      <w:r>
        <w:t>pobol</w:t>
      </w:r>
      <w:r w:rsidRPr="00B77A01">
        <w:t>i smrtnost, već i zbog svog učinka na očekivani životni vijek, teret bolesti, teret na zdravstvene usluge te ekonomske i socijalne posljedice koje one mogu uzrokovati. U skladu s projekcijama, do 2020. godine kronična opstruktivna plućna bolest zauzet će peto mjesto među uzrocima izgubljenih godina života zbog invalidnosti (DALY) i postat će treći vodeći uzrok smrti širom svijeta. Rastući faktori rizika kao što su povećano korištenje duhanskih proizvoda, populacija koja stari</w:t>
      </w:r>
      <w:r>
        <w:t xml:space="preserve"> </w:t>
      </w:r>
      <w:r w:rsidRPr="00B77A01">
        <w:t>i duži očekivani životni vijek, također idu u prilog takvom razvoju događaja.</w:t>
      </w:r>
      <w:r>
        <w:t xml:space="preserve"> </w:t>
      </w:r>
      <w:r w:rsidRPr="00B77A01">
        <w:t>Nacionalni program za kronične bolesti dišnog sustava u Hrvatskoj do sada nije postojao.</w:t>
      </w:r>
    </w:p>
    <w:p w:rsidR="00D420E0" w:rsidRPr="00B77A01" w:rsidRDefault="00D420E0" w:rsidP="00202751">
      <w:pPr>
        <w:spacing w:after="0" w:line="360" w:lineRule="auto"/>
        <w:jc w:val="both"/>
      </w:pPr>
    </w:p>
    <w:p w:rsidR="00D420E0" w:rsidRPr="00B77A01" w:rsidRDefault="00D420E0" w:rsidP="00202751">
      <w:pPr>
        <w:spacing w:after="0" w:line="360" w:lineRule="auto"/>
        <w:jc w:val="both"/>
      </w:pPr>
    </w:p>
    <w:p w:rsidR="00D420E0" w:rsidRPr="00B77A01" w:rsidRDefault="001D433B" w:rsidP="00743A84">
      <w:pPr>
        <w:spacing w:after="0"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5374005" cy="3041650"/>
            <wp:effectExtent l="0" t="0" r="17145" b="2540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20E0" w:rsidRPr="00C06020" w:rsidRDefault="00D420E0" w:rsidP="00D153D4">
      <w:pPr>
        <w:jc w:val="both"/>
        <w:rPr>
          <w:sz w:val="20"/>
          <w:szCs w:val="20"/>
          <w:lang w:eastAsia="zh-CN"/>
        </w:rPr>
      </w:pPr>
      <w:r w:rsidRPr="00C06020">
        <w:rPr>
          <w:sz w:val="20"/>
          <w:szCs w:val="20"/>
        </w:rPr>
        <w:t xml:space="preserve">Slika 4. </w:t>
      </w:r>
      <w:r w:rsidRPr="00C06020">
        <w:rPr>
          <w:sz w:val="20"/>
          <w:szCs w:val="20"/>
          <w:lang w:eastAsia="zh-CN"/>
        </w:rPr>
        <w:t>Standardizirane stope smrtnosti, bronhitis/enfizem/astma, sve dobne skupine, na 100 000. Izvor: Baza podataka Zdravlje za sve, Svjetska zdravstvena organizacija</w:t>
      </w:r>
    </w:p>
    <w:p w:rsidR="00D420E0" w:rsidRPr="00C06020" w:rsidRDefault="00D420E0" w:rsidP="00D153D4">
      <w:pPr>
        <w:jc w:val="both"/>
      </w:pPr>
    </w:p>
    <w:p w:rsidR="00D420E0" w:rsidRPr="00C06020" w:rsidRDefault="00D420E0" w:rsidP="000E272F">
      <w:pPr>
        <w:spacing w:line="360" w:lineRule="auto"/>
        <w:jc w:val="both"/>
      </w:pPr>
      <w:r w:rsidRPr="00C06020">
        <w:rPr>
          <w:b/>
        </w:rPr>
        <w:t>Ozljede</w:t>
      </w:r>
      <w:r w:rsidRPr="00C06020">
        <w:t xml:space="preserve"> se nalaze na trećem mjestu uzroka smrti u Hrvatskoj s ukupno 2.785 umrlih tijekom 2013. godine i udjelom od 5,5% u ukupnoj smrtnosti. Od ozljeda umire više muškaraca nego žena (omjer 1,9:1). Dobno-standardizirane stope smrtnosti od ozljeda za Hrvatsku u 2012. godini iznosile su 52,6/100.000. Važnost ozljeda kao jednog od vodećih javnozdravstvenih problema je u tome što su one vodeći uzrok smrti u djece i mladih osoba (1-39 godina). </w:t>
      </w:r>
    </w:p>
    <w:p w:rsidR="00D420E0" w:rsidRPr="00B77A01" w:rsidRDefault="00D420E0" w:rsidP="000E272F">
      <w:pPr>
        <w:spacing w:line="360" w:lineRule="auto"/>
        <w:jc w:val="both"/>
      </w:pPr>
      <w:r w:rsidRPr="00C06020">
        <w:t>Mentalni poremećaji sudjelovali su u 2013. godini s udjelom od 7% u ukupnom bolničkom pobolu u Hrvatskoj. Procijenjena prevalencija shizofrenije i shizoafektivnih poremećaja iznosi 5,3/1.000 stanovnika starijih od 15 godina. Prema procjenama DALY za Hrvatsku, unipolarni depresivni poremećaji zauzimaju visoko treće mjesto</w:t>
      </w:r>
      <w:r w:rsidRPr="00B77A01">
        <w:t xml:space="preserve"> među svim promatranim entitetima.</w:t>
      </w:r>
    </w:p>
    <w:p w:rsidR="00D420E0" w:rsidRPr="00B77A01" w:rsidRDefault="00D420E0" w:rsidP="000E272F">
      <w:pPr>
        <w:spacing w:line="360" w:lineRule="auto"/>
        <w:jc w:val="both"/>
      </w:pPr>
      <w:r w:rsidRPr="00B77A01">
        <w:t xml:space="preserve">Najvažnije determinantne zdravlja u Hrvatskoj povezane su s bihevioralnim i biomedicinskim faktorima rizika kao što su nezdrava prehrana, </w:t>
      </w:r>
      <w:r>
        <w:t>tjelesna</w:t>
      </w:r>
      <w:r w:rsidRPr="00B77A01">
        <w:t xml:space="preserve"> neaktivnost, pretjerana tjelesna masa i debljina, a čemu moramo dodati i pušenje, alkoholizam i zloupotreb</w:t>
      </w:r>
      <w:r>
        <w:t xml:space="preserve">u </w:t>
      </w:r>
      <w:r w:rsidRPr="00B77A01">
        <w:t>droga.</w:t>
      </w:r>
    </w:p>
    <w:p w:rsidR="00D420E0" w:rsidRPr="00C06020" w:rsidRDefault="00D420E0" w:rsidP="00906D26">
      <w:pPr>
        <w:spacing w:after="80" w:line="360" w:lineRule="auto"/>
        <w:jc w:val="both"/>
      </w:pPr>
      <w:bookmarkStart w:id="3" w:name="_Toc410293650"/>
      <w:r w:rsidRPr="00B77A01">
        <w:t xml:space="preserve">Plan mjera i djelovanja na području jačanja </w:t>
      </w:r>
      <w:r w:rsidRPr="00B77A01">
        <w:rPr>
          <w:b/>
        </w:rPr>
        <w:t>nadzora nad duhanom</w:t>
      </w:r>
      <w:r w:rsidRPr="00B77A01">
        <w:t xml:space="preserve"> definiran je Akcijskim planom za jačanje nadzora nad duhanom koji je Vlada RH donijela za razdoblje od 2013. do 2016. </w:t>
      </w:r>
      <w:r>
        <w:t xml:space="preserve">godine. </w:t>
      </w:r>
      <w:r w:rsidRPr="00B77A01">
        <w:t xml:space="preserve">Planirane aktivnosti temelje se na Okvirnoj konvenciji o nadzoru nad duhanom Svjetske zdravstvene organizacije (WHO Framework Convention on Tobacco Control –WHO FCTC) te preporukama Vijeća Europe o okolišu bez duhanskog dima (Council Recommendation on smoke-free environments 2009/C 296/02) i Direktivi Europskog parlamenta i Vijeća o proizvodnji, prezentiranju i prodaji </w:t>
      </w:r>
      <w:r w:rsidRPr="00B77A01">
        <w:lastRenderedPageBreak/>
        <w:t xml:space="preserve">duhanskih proizvoda (Directive 2001/37/EC of the European Parliament concerning the manufacture, </w:t>
      </w:r>
      <w:r w:rsidRPr="00C06020">
        <w:t xml:space="preserve">presentation and sale of tobacco products). </w:t>
      </w:r>
    </w:p>
    <w:p w:rsidR="00D420E0" w:rsidRPr="00B77A01" w:rsidRDefault="00D420E0" w:rsidP="00906D26">
      <w:pPr>
        <w:spacing w:after="80" w:line="360" w:lineRule="auto"/>
        <w:jc w:val="both"/>
      </w:pPr>
      <w:r w:rsidRPr="00C06020">
        <w:t>Odredbama Zakona o ograničavanju uporabe duhanskih proizvoda („Narodne novine“ broj  128/1999, 55/2000, 125/2008, 55/2009 – ispravak, 119/2009 i 94/13) u Hrvatskoj je zabranjeno izravno ili neizravno</w:t>
      </w:r>
      <w:r w:rsidRPr="00B77A01">
        <w:t xml:space="preserve"> oglašavanje cigareta, pušenje na javnim mjestima i prikazivanje osoba koje puše na televiziji. </w:t>
      </w:r>
      <w:r>
        <w:t>Z</w:t>
      </w:r>
      <w:r w:rsidRPr="00B77A01">
        <w:t xml:space="preserve">abranjeno </w:t>
      </w:r>
      <w:r>
        <w:t>je o</w:t>
      </w:r>
      <w:r w:rsidRPr="00B77A01">
        <w:t xml:space="preserve">glašavanje proizvoda koji se ne smatraju duhanskim proizvodima, a koji svojim oblikom, nazivom ili namjenom neposredno potiču potrošnju duhanskih proizvoda. Zabranjeno je prodavati duhanske proizvode osobama mlađim od 18 godina, a zabranjena je i prodaja duhanskih proizvoda putem interneta. Dobre prakse o smanjenju dostupnosti duhanskih automata i zabrani vidljivog izlaganja duhanskih proizvoda na mjestima gdje se duhanski proizvodi prodaju uvode se u novije zakonske izmjene. Napravljene su značajne pozitivne promjene u odredbama o pakiranju i označivanju duhanskih proizvoda: duhanski proizvodi ne nose reklamu ili neki oblik promocije, kao i obmanjujuće natpise koji kod potrošača mogu stvoriti dojam da se radi o manje štetnom proizvodu. Tekstualna zdravstvena upozorenja su obvezna. Zabranjeno je pušenje u zatvorenim javnim mjestima i sredstvima javnog prijevoza.  </w:t>
      </w:r>
    </w:p>
    <w:p w:rsidR="00D420E0" w:rsidRPr="00B77A01" w:rsidRDefault="00D420E0" w:rsidP="00906D26">
      <w:pPr>
        <w:spacing w:after="80" w:line="360" w:lineRule="auto"/>
        <w:jc w:val="both"/>
      </w:pPr>
      <w:r w:rsidRPr="00B77A01">
        <w:t>Prema podacima Hrvatske zdravstvene ankete, 2003.</w:t>
      </w:r>
      <w:r>
        <w:t xml:space="preserve"> godine</w:t>
      </w:r>
      <w:r w:rsidRPr="00B77A01">
        <w:t xml:space="preserve"> je u Republici Hrvatskoj 20,4% odraslih osoba i 7,6% 7-godišnjaka bilo </w:t>
      </w:r>
      <w:r w:rsidRPr="00B77A01">
        <w:rPr>
          <w:b/>
        </w:rPr>
        <w:t xml:space="preserve">debelo </w:t>
      </w:r>
      <w:r w:rsidRPr="00B77A01">
        <w:t xml:space="preserve">dok procjene Hrvatske zdravstvene ankete iz 2008. </w:t>
      </w:r>
      <w:r>
        <w:t xml:space="preserve">godine </w:t>
      </w:r>
      <w:r w:rsidRPr="00B77A01">
        <w:t xml:space="preserve">ukazuju da se udio odraslih s debljinom dodatno povećao na 24,4%. Tijekom 2014. </w:t>
      </w:r>
      <w:r>
        <w:t xml:space="preserve">godine </w:t>
      </w:r>
      <w:r w:rsidRPr="00B77A01">
        <w:t>proveden</w:t>
      </w:r>
      <w:r>
        <w:t xml:space="preserve">o </w:t>
      </w:r>
      <w:r w:rsidRPr="00B77A01">
        <w:t>je</w:t>
      </w:r>
      <w:r>
        <w:t xml:space="preserve"> istraživanje</w:t>
      </w:r>
      <w:r w:rsidRPr="00B77A01">
        <w:t xml:space="preserve"> EHIS</w:t>
      </w:r>
      <w:r>
        <w:t>(</w:t>
      </w:r>
      <w:r w:rsidRPr="00B77A01">
        <w:t>European Health Interview Survey), a rezultati istog bit će dostupni 2015. godine. Također, Republika Hrvatska uključuje se u projekt SZO „Childhood Obesity Surveillance Initiative</w:t>
      </w:r>
      <w:r>
        <w:t>“</w:t>
      </w:r>
      <w:r w:rsidRPr="00B77A01">
        <w:t xml:space="preserve"> (</w:t>
      </w:r>
      <w:r>
        <w:t xml:space="preserve">u daljnjem tesktu: </w:t>
      </w:r>
      <w:r w:rsidRPr="00B77A01">
        <w:t xml:space="preserve">COSI) čime se i za ovaj dio populacije pridružujemo sudjelovanju u međunarodnom praćenju debljine čiji je cilj primjena jedinstvenog sustava u Europskoj regiji </w:t>
      </w:r>
      <w:r>
        <w:t xml:space="preserve">SZO </w:t>
      </w:r>
      <w:r w:rsidRPr="00B77A01">
        <w:t xml:space="preserve">i mjerenje trendova prekomjerne tjelesne mase i debljine u osnovnoškolske djece. </w:t>
      </w:r>
    </w:p>
    <w:p w:rsidR="00D420E0" w:rsidRPr="00B77A01" w:rsidRDefault="00D420E0" w:rsidP="00906D26">
      <w:pPr>
        <w:spacing w:after="80" w:line="360" w:lineRule="auto"/>
        <w:jc w:val="both"/>
      </w:pPr>
      <w:r w:rsidRPr="00B77A01">
        <w:t>Akcijski plan za prevenciju i smanjenje prekomjerne tjelesne težine donesen je za razdoblje od 2010. do 2012. te u ovom trenutku ne postoji plan prevencije i kontrole debljine u Republici Hrvatskoj</w:t>
      </w:r>
      <w:r>
        <w:t xml:space="preserve">  te se</w:t>
      </w:r>
      <w:r w:rsidRPr="00B77A01">
        <w:t xml:space="preserve"> stoga ne smije zanemariti definiranje daljnjih strateških okvira i planova. Nacionalne smjernice za prehranu učenika u osnovnim školama donesene su 2013.</w:t>
      </w:r>
      <w:r>
        <w:t xml:space="preserve"> godine</w:t>
      </w:r>
      <w:r w:rsidRPr="00B77A01">
        <w:t>, međutim nadzor implementacije izostaje</w:t>
      </w:r>
      <w:r>
        <w:t>,</w:t>
      </w:r>
      <w:r w:rsidRPr="00B77A01">
        <w:t xml:space="preserve"> a planirane Nacionalne smjernice za prehranu radno aktivne populacije za sada su još u pripremnoj fazi. Tijekom 2014. </w:t>
      </w:r>
      <w:r>
        <w:t xml:space="preserve">godine </w:t>
      </w:r>
      <w:r w:rsidRPr="00B77A01">
        <w:t>također je pokrenut Nacionalni program „Živjeti zdravo“ koji se sastoji od komponenti zdravstvenog obrazovanja, zdravstvenog turizma, zdravlja i prehrane, zdravlja i radnog mjesta, zdravlja i okoliša te mreže centara za promicanje zdravlja „Živjeti zdravo“ uključivo i ona za pravilnu prehranu i tjelesnu aktivnost. Nacionalni program „Živjeti zdravo“ integrira intervencije u području pravilne prehrane i tjelesne aktivnosti sinergistički utječući na više rizičnih čimbenika.</w:t>
      </w:r>
    </w:p>
    <w:p w:rsidR="00D420E0" w:rsidRPr="00B77A01" w:rsidRDefault="00D420E0" w:rsidP="00906D26">
      <w:pPr>
        <w:pStyle w:val="Odlomakpopisa"/>
        <w:spacing w:after="80" w:line="360" w:lineRule="auto"/>
        <w:ind w:left="0"/>
        <w:jc w:val="both"/>
      </w:pPr>
      <w:r w:rsidRPr="00B77A01">
        <w:lastRenderedPageBreak/>
        <w:t>Dosadašnja provedena istraživanja o učestalosti tjelesne (ne)aktivnosti u Republici Hrvatskoj ukazuju da oko 60% odrasle populacije ne sudjeluje ni u kakvom obliku tjelesnog vježbanja, a tjelesna aktivnost najniža je među adolescentima i mladim odraslim ljudima (15–24 godine). Alarmantni su i podaci da je i u transportu i tijekom slobodnog vremena razina tjelesne aktivnosti izuzetno niska, a značajno najveća tjelesna neaktivnost tijekom slobodnog vremena zabilježena je među odraslim muškarcima Grada Zagreba (88,6%). Unatoč velikom javnozdravstvenom problemu koji tjelesna neaktivnost u Republici Hrvatskoj predstavlja</w:t>
      </w:r>
      <w:r>
        <w:t>,</w:t>
      </w:r>
      <w:r w:rsidRPr="00B77A01">
        <w:t xml:space="preserve"> do sada nisu doneseni strateški dokumenti koji bi osigurali preduvjete za učinkovitu borbu i unapređenje u navedenom području. U Europskom urbanom kontekstu, gdje je više od 50%  putovanja automobilom kraće od 5 km, a više od 30% kraće od 3 km, supstitucija kratkih putovanja autom s hodanjem i biciklizmom u velikoj je mjeri izvediva i uglavnom se podudara s preporučenim razinama dnevne </w:t>
      </w:r>
      <w:r>
        <w:t>tjelesne</w:t>
      </w:r>
      <w:r w:rsidRPr="00B77A01">
        <w:t xml:space="preserve"> aktivnosti umjerena intenziteta. Stoga je prilikom donošenja strateških dokumenata poseban naglasak potrebno staviti na politike transporta i urbanizma i stvaranje uvjeta koji mogu omogućiti</w:t>
      </w:r>
      <w:r>
        <w:t>,</w:t>
      </w:r>
      <w:r w:rsidRPr="00B77A01">
        <w:t xml:space="preserve"> ali i potisnuti dnevne </w:t>
      </w:r>
      <w:r>
        <w:t>tjelesne</w:t>
      </w:r>
      <w:r w:rsidRPr="00B77A01">
        <w:t xml:space="preserve"> aktivnosti, posebno kroz biciklizam i šetnju bilo radi prijevoza ili u slobodno vrijeme. </w:t>
      </w:r>
    </w:p>
    <w:p w:rsidR="00D420E0" w:rsidRPr="00C06020" w:rsidRDefault="00D420E0" w:rsidP="007D65E4">
      <w:pPr>
        <w:spacing w:after="80" w:line="360" w:lineRule="auto"/>
        <w:jc w:val="both"/>
      </w:pPr>
      <w:r w:rsidRPr="00C06020">
        <w:t>Ekonomski razvoj, kultura, dostupnost alkohola, razina i učinkovitost politika vezanih uz alkohol relevantni su čimbenici za razumijevanje trendova konzumacije alkohola i povezane štete.</w:t>
      </w:r>
    </w:p>
    <w:p w:rsidR="00D420E0" w:rsidRPr="00C06020" w:rsidRDefault="00D420E0" w:rsidP="007D65E4">
      <w:pPr>
        <w:spacing w:after="80" w:line="360" w:lineRule="auto"/>
        <w:jc w:val="both"/>
      </w:pPr>
      <w:r w:rsidRPr="00C06020">
        <w:t>Prema podatcima SZO za razdoblje od 2008. do 2010. godine u odnosu na razdoblje od 2003. do 2005. godine bilježimo pad potrošnje alkohola u Hrvatskoj (12,2l), no ona je još uvijek veća od prosjeka europske regije SZO (10,9l).</w:t>
      </w:r>
    </w:p>
    <w:p w:rsidR="00D420E0" w:rsidRPr="00C06020" w:rsidRDefault="00D420E0" w:rsidP="007D65E4">
      <w:pPr>
        <w:spacing w:after="80" w:line="360" w:lineRule="auto"/>
        <w:jc w:val="both"/>
      </w:pPr>
      <w:r w:rsidRPr="00C06020">
        <w:t>Nacionalna strategija za sprječavanje štetne uporabe alkohola i alkoholom uzrokovanih poremećaja, za razdoblje od 2011. do 2016. godine, usvojena je 2010. godine na 75. sjednici Vlade Republike Hrvatske.</w:t>
      </w:r>
    </w:p>
    <w:p w:rsidR="00D420E0" w:rsidRPr="00B77A01" w:rsidRDefault="00D420E0" w:rsidP="007D65E4">
      <w:pPr>
        <w:spacing w:after="80" w:line="360" w:lineRule="auto"/>
        <w:jc w:val="both"/>
      </w:pPr>
      <w:r w:rsidRPr="00C06020">
        <w:t>Hrvatska ima zakonodavni okvir za borbu protiv alkoholizma i njegovih posljedica. U tijeku je procedura za donošenje Akcijskog plana smanjenja štetne uporabe alkohola</w:t>
      </w:r>
      <w:r w:rsidRPr="00B77A01">
        <w:t>.</w:t>
      </w: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</w:p>
    <w:p w:rsidR="00D420E0" w:rsidRPr="00B77A01" w:rsidRDefault="001D433B" w:rsidP="004C076D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  <w:noProof/>
        </w:rPr>
        <w:lastRenderedPageBreak/>
        <w:drawing>
          <wp:inline distT="0" distB="0" distL="0" distR="0">
            <wp:extent cx="6048375" cy="3486150"/>
            <wp:effectExtent l="0" t="0" r="9525" b="0"/>
            <wp:docPr id="5" name="Picture 4" descr="figure 1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1_f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E0" w:rsidRPr="00B77A01" w:rsidRDefault="00D420E0" w:rsidP="00CC2FE0">
      <w:pPr>
        <w:jc w:val="both"/>
        <w:rPr>
          <w:sz w:val="20"/>
          <w:szCs w:val="20"/>
        </w:rPr>
      </w:pPr>
      <w:r w:rsidRPr="00B77A01">
        <w:rPr>
          <w:sz w:val="20"/>
          <w:szCs w:val="20"/>
        </w:rPr>
        <w:t>Slika 5. Usporedba prevalencije pušenja, potrošnje alkohola, tjelesne neaktivnosti, nezdrave hrane, de</w:t>
      </w:r>
      <w:r>
        <w:rPr>
          <w:sz w:val="20"/>
          <w:szCs w:val="20"/>
        </w:rPr>
        <w:t>bljine i hipertenzije u muškoj i</w:t>
      </w:r>
      <w:r w:rsidRPr="00B77A01">
        <w:rPr>
          <w:sz w:val="20"/>
          <w:szCs w:val="20"/>
        </w:rPr>
        <w:t xml:space="preserve"> ženskoj populaciji</w:t>
      </w:r>
      <w:r w:rsidRPr="00B77A01">
        <w:rPr>
          <w:color w:val="000000"/>
          <w:sz w:val="20"/>
          <w:szCs w:val="20"/>
          <w:lang w:eastAsia="zh-CN"/>
        </w:rPr>
        <w:t xml:space="preserve"> 2003. i 2007. godine.</w:t>
      </w: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 xml:space="preserve">U prevenciju i kontroli KNB potrebno je poticati suradnju između svih razina vlade, lokalne zajednice i svih dionika koji imaju za cilj smanjenje opterećenja bolestima razvijajući mehanizme suradnje koji su participativni, </w:t>
      </w:r>
      <w:r w:rsidRPr="00B77A01">
        <w:rPr>
          <w:rFonts w:cs="TimesNewRomanPSMT"/>
          <w:b/>
        </w:rPr>
        <w:t>međusektorski i višerazinski</w:t>
      </w:r>
      <w:r w:rsidRPr="00B77A01">
        <w:rPr>
          <w:rFonts w:cs="TimesNewRomanPSMT"/>
        </w:rPr>
        <w:t xml:space="preserve"> i koji se protežu od lokalne do globalne razine.  S obzirom da je većina rizika povezanih s KNB izvan dosega zdravstvenog sustava, najizazovniji zdravstveni problemi zahtijevaju angažman s</w:t>
      </w:r>
      <w:r>
        <w:rPr>
          <w:rFonts w:cs="TimesNewRomanPSMT"/>
        </w:rPr>
        <w:t>a</w:t>
      </w:r>
      <w:r w:rsidRPr="00B77A01">
        <w:rPr>
          <w:rFonts w:cs="TimesNewRomanPSMT"/>
        </w:rPr>
        <w:t xml:space="preserve"> svim resorima i dionicima izvan vlade: međunarodnim tijelima, agencijama, prof</w:t>
      </w:r>
      <w:r>
        <w:rPr>
          <w:rFonts w:cs="TimesNewRomanPSMT"/>
        </w:rPr>
        <w:t>esionalnim udrugama i nevladinim</w:t>
      </w:r>
      <w:r w:rsidRPr="00B77A01">
        <w:rPr>
          <w:rFonts w:cs="TimesNewRomanPSMT"/>
        </w:rPr>
        <w:t xml:space="preserve"> organizacijama, privatnim sektorom i akademskom zajednicom. Savezi i umrežavanje temeljni su mehanizam za postizanje rezultata. Postoji niz profesionalnih udruženja koji djeluju u području prevencije KNB. Dobro je razvijen pokret zdravih gradova i županija te zdravih škola koji djeluju već dugi niz godina. Djeluje i niz udruga koje su usmjerene na prevenciju i kontrolu KNB. Iako postoje brojni preventivni programi, izostaje njihova sinergija i za mnoge se ne zna tko ih i na koji način provodi. Rijetki su programi u kojima je prisutno udruživanje više nevladinih udruga i institucija u zajedničkoj provedbi programa. </w:t>
      </w: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>Prevencija KNB ograničena je dostupnim resursima i sredstva koja se koriste ne dodjeljuju se po kriteriju koji se temelji na dokazima. Procjenjuje se da se 2% budžeta zdravstvene zaštite troši na prevenciju. Isto tako, postoji nedostatak mjerljivih učinaka preventivnih mjera koje se danas koriste. Podaci o KNB</w:t>
      </w:r>
      <w:r>
        <w:rPr>
          <w:rFonts w:cs="TimesNewRomanPSMT"/>
        </w:rPr>
        <w:t xml:space="preserve"> često su zastarjeli</w:t>
      </w:r>
      <w:r w:rsidRPr="00B77A01">
        <w:rPr>
          <w:rFonts w:cs="TimesNewRomanPSMT"/>
        </w:rPr>
        <w:t xml:space="preserve"> te je teško pratiti napredak i identificirati “vruća mjesta” na kojima  treba koncentrirati preventivne mjere. Procjenjuje se da KNB sudjeluju s 93% ukupnih smrti s kardiovaskularnim bolestima koje sudjeluju s 48%. Preventivne mjere nužne su za buduću </w:t>
      </w:r>
      <w:r w:rsidRPr="00B77A01">
        <w:rPr>
          <w:rFonts w:cs="TimesNewRomanPSMT"/>
        </w:rPr>
        <w:lastRenderedPageBreak/>
        <w:t xml:space="preserve">zdravstvenu zaštitu, no određene studije ističu da samo debljina sudjeluje s 20% troškova zdravstvene zaštite. Izvješće McKinsey Global Instituta “Overcoming obesity: An initial economic analysis” (Prevladavanje debljine: početna ekonomska analiza)  pokazuje na koji način bi korištenje 44 različite intervencije moglo  preokrenuti  </w:t>
      </w:r>
      <w:r>
        <w:rPr>
          <w:rFonts w:cs="TimesNewRomanPSMT"/>
        </w:rPr>
        <w:t>porast debljine</w:t>
      </w:r>
      <w:r w:rsidRPr="00B77A01">
        <w:rPr>
          <w:rFonts w:cs="TimesNewRomanPSMT"/>
        </w:rPr>
        <w:t xml:space="preserve"> i vratiti oko 20% debelih ljudi i ljudi s prekomjernom težinom u normalnu kategoriju tjelesne mase u roku od pet do deset godina. To bi imalo ogroman učinak na troškove zdravstvene zaštite i dovelo bi do ušteda. Ta analiza također navodi da su sve intervencije troškovno efikasne. Ovakve analize mogu nam pomoći stvoriti preventivne mjere s najvećom troškovnom učinkovitošću za određeno područje ili populacijsku podgrupu. Za Hrvatsku je prevencija jedini način kojim se mogu objediniti troškovi zdravstvene zaštite i pružiti odgovarajuća skrb za pacijente.</w:t>
      </w: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 xml:space="preserve">Postoji potreba za razvojem alata, odnosno sustava koji bi potakli povezivanje dionika u razvoju zajedničkih projekata i programa. Strateški plan razvoja javnog zdravstva predviđa inicijativu osnivanja </w:t>
      </w:r>
      <w:r w:rsidRPr="00B77A01">
        <w:rPr>
          <w:rFonts w:cs="TimesNewRomanPSMT"/>
          <w:b/>
        </w:rPr>
        <w:t xml:space="preserve">“Zdravstvenog fonda” </w:t>
      </w:r>
      <w:r w:rsidRPr="00B77A01">
        <w:rPr>
          <w:rFonts w:cs="TimesNewRomanPSMT"/>
        </w:rPr>
        <w:t>koji bi o</w:t>
      </w:r>
      <w:r>
        <w:rPr>
          <w:rFonts w:cs="TimesNewRomanPSMT"/>
        </w:rPr>
        <w:t>sigurao financiranje za razvoj i</w:t>
      </w:r>
      <w:r w:rsidRPr="00B77A01">
        <w:rPr>
          <w:rFonts w:cs="TimesNewRomanPSMT"/>
        </w:rPr>
        <w:t xml:space="preserve"> implem</w:t>
      </w:r>
      <w:r>
        <w:rPr>
          <w:rFonts w:cs="TimesNewRomanPSMT"/>
        </w:rPr>
        <w:t>entaciju preventivnih programa i</w:t>
      </w:r>
      <w:r w:rsidRPr="00B77A01">
        <w:rPr>
          <w:rFonts w:cs="TimesNewRomanPSMT"/>
        </w:rPr>
        <w:t xml:space="preserve"> koji bi mogao, prilikom odobravanja financiranja, dati prioritet programima koji imaju zajednički pristup prevenciji KNB na integrirani način, u suradnji s nekoliko sektora.</w:t>
      </w:r>
    </w:p>
    <w:p w:rsidR="00D420E0" w:rsidRPr="00B77A01" w:rsidRDefault="00D420E0" w:rsidP="004C076D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 xml:space="preserve">Taj Strateški plan također predviđa razvoj </w:t>
      </w:r>
      <w:r w:rsidRPr="00B77A01">
        <w:rPr>
          <w:rFonts w:cs="TimesNewRomanPSMT"/>
          <w:b/>
        </w:rPr>
        <w:t xml:space="preserve">informacijskog sustava za upravljanje preventivnim programima </w:t>
      </w:r>
      <w:r w:rsidRPr="00B77A01">
        <w:rPr>
          <w:rFonts w:cs="TimesNewRomanPSMT"/>
        </w:rPr>
        <w:t>čiji bi cilj bio osigurati bazu podataka o preventivnim programima koji se primjenjuju na svim razinama i u svim sektorima kako bi se razmijenile informacije i potakla suradnja između različitih dionika. Razvoj tih alata pomoći će razvoju tog prioriteta.</w:t>
      </w:r>
    </w:p>
    <w:p w:rsidR="00D420E0" w:rsidRDefault="00D420E0" w:rsidP="007D6631">
      <w:pPr>
        <w:spacing w:after="80" w:line="360" w:lineRule="auto"/>
        <w:jc w:val="both"/>
      </w:pPr>
      <w:r w:rsidRPr="00B5395E">
        <w:t>Hrvatska ima razvijen sustav nadzora nad KNB koji daje osnovne podatke o pobolu i smrtnosti od KNB koji je usklađen s metodologijom EUROSTAT-a. Pobol i smrtnost od raka i šećerna bolesti prati se putem nacionalnih registara koji svoje podatke razmjenju</w:t>
      </w:r>
      <w:r>
        <w:t>ju</w:t>
      </w:r>
      <w:r w:rsidRPr="00B5395E">
        <w:t xml:space="preserve"> s međunarodnim tijelima i daju osnovne podatke za mjerenje incidencije ovih bolesti u stanovništvu. Razvijen je i registar osoba s invaliditetom koji omogućava praćenje invalidnosti kao posljedice KNB. Prema metodologiji OECD započet je i razvoj </w:t>
      </w:r>
      <w:r>
        <w:t>sustava zdravstvenih računa (u dajnjem tekstu: SHA)</w:t>
      </w:r>
      <w:r w:rsidRPr="00B5395E">
        <w:t xml:space="preserve"> koji za sada ne daje mogućnosti procjene ekonomskog tereta KNB, ali se planira njegov daljnji razvoj u tom smislu što je i naznačeno Stratešk</w:t>
      </w:r>
      <w:r>
        <w:t>i</w:t>
      </w:r>
      <w:r w:rsidRPr="00B5395E">
        <w:t>m plan</w:t>
      </w:r>
      <w:r>
        <w:t xml:space="preserve">om razvoja </w:t>
      </w:r>
      <w:r w:rsidRPr="00B5395E">
        <w:t>javnog zdravstva</w:t>
      </w:r>
      <w:r>
        <w:t xml:space="preserve"> 2013. - 2015</w:t>
      </w:r>
      <w:r w:rsidRPr="00B5395E">
        <w:t xml:space="preserve">. </w:t>
      </w:r>
    </w:p>
    <w:p w:rsidR="00D420E0" w:rsidRPr="00B5395E" w:rsidRDefault="00D420E0" w:rsidP="007D6631">
      <w:pPr>
        <w:spacing w:after="80" w:line="360" w:lineRule="auto"/>
        <w:jc w:val="both"/>
      </w:pPr>
      <w:r w:rsidRPr="00B5395E">
        <w:t xml:space="preserve">Za sada je najslabije razvijen sustav praćenja rizičnih čimbenika za KNB. </w:t>
      </w:r>
      <w:r>
        <w:t>Do sada su provedene</w:t>
      </w:r>
      <w:r w:rsidRPr="00B5395E">
        <w:t xml:space="preserve"> dvije  nacionalne zdravstvene ankete </w:t>
      </w:r>
      <w:r>
        <w:t>(EHIS 2003. i 2008.)</w:t>
      </w:r>
      <w:r w:rsidRPr="00B5395E">
        <w:t>. Pristupanjem EU Hrvatska se priključila europsk</w:t>
      </w:r>
      <w:r>
        <w:t>o</w:t>
      </w:r>
      <w:r w:rsidRPr="00B5395E">
        <w:t>m istraživan</w:t>
      </w:r>
      <w:r>
        <w:t>ju</w:t>
      </w:r>
      <w:r w:rsidRPr="00B5395E">
        <w:t xml:space="preserve"> EHIS </w:t>
      </w:r>
      <w:r>
        <w:t>te dodatno uvela</w:t>
      </w:r>
      <w:r w:rsidRPr="00B5395E">
        <w:t xml:space="preserve"> EHES koji će dati međunarodno usporedive rezultate o zdravlju stanovništva pa tako i KNB. </w:t>
      </w:r>
    </w:p>
    <w:p w:rsidR="00D420E0" w:rsidRPr="00B77A01" w:rsidRDefault="00D420E0" w:rsidP="003E2BD4">
      <w:pPr>
        <w:spacing w:after="0" w:line="360" w:lineRule="auto"/>
        <w:jc w:val="both"/>
      </w:pPr>
      <w:r w:rsidRPr="00B77A01">
        <w:t xml:space="preserve">Hrvatski zavod za zdravstveno osiguranje razvio je sustav </w:t>
      </w:r>
      <w:r w:rsidRPr="00B77A01">
        <w:rPr>
          <w:b/>
        </w:rPr>
        <w:t>preventivnih panela</w:t>
      </w:r>
      <w:r>
        <w:rPr>
          <w:b/>
        </w:rPr>
        <w:t xml:space="preserve"> </w:t>
      </w:r>
      <w:r w:rsidRPr="00B77A01">
        <w:t xml:space="preserve">čiji je cilj pratiti informacije o faktorima rizika za osobe pokrivene osnovnim zdravstvenim obrazovanjem na razini primarne zdravstvene zaštite. Započelo je prikupljanje tih informacija i ono će omogućiti praćenje </w:t>
      </w:r>
      <w:r w:rsidRPr="00B77A01">
        <w:lastRenderedPageBreak/>
        <w:t xml:space="preserve">osnovnih faktora rizika među stanovništvom te će također služiti i kao alat za fokusiranje preventivnih aktivnosti na razini primarne zdravstvene zaštite. Također je razvijen i </w:t>
      </w:r>
      <w:r w:rsidRPr="00B77A01">
        <w:rPr>
          <w:b/>
        </w:rPr>
        <w:t>CH-BIS sustav</w:t>
      </w:r>
      <w:r w:rsidRPr="00B77A01">
        <w:t xml:space="preserve">  koji omogućava proučavanje pobola </w:t>
      </w:r>
      <w:r>
        <w:t>i</w:t>
      </w:r>
      <w:r w:rsidRPr="00B77A01">
        <w:t xml:space="preserve"> smrtnosti primjenjujući metodologiju geo-informacijskog sustava (GIS). Uključivanje indikatora okoliša u GIS sustav omogućit će nam da proučavamo učinak okoliša na KNB.</w:t>
      </w:r>
    </w:p>
    <w:p w:rsidR="00D420E0" w:rsidRPr="00B77A01" w:rsidRDefault="00D420E0" w:rsidP="003E2BD4">
      <w:pPr>
        <w:spacing w:after="0" w:line="360" w:lineRule="auto"/>
        <w:jc w:val="both"/>
      </w:pPr>
      <w:r w:rsidRPr="00B77A01">
        <w:t>Potrebne su i daljnje aktivnosti kako bi se ojačao nadzor KNB i sustav istraživanja kako bi se osigurale informacije potrebne za planiranje i evaluaciju programa.</w:t>
      </w:r>
    </w:p>
    <w:p w:rsidR="00D420E0" w:rsidRPr="00B77A01" w:rsidRDefault="00D420E0" w:rsidP="0069774D">
      <w:pPr>
        <w:pStyle w:val="Naslov1"/>
      </w:pPr>
      <w:bookmarkStart w:id="4" w:name="_Toc409792263"/>
      <w:bookmarkStart w:id="5" w:name="_Toc414264384"/>
      <w:bookmarkEnd w:id="3"/>
      <w:r w:rsidRPr="00B77A01">
        <w:t>Strateški okvir</w:t>
      </w:r>
      <w:bookmarkEnd w:id="4"/>
      <w:bookmarkEnd w:id="5"/>
    </w:p>
    <w:p w:rsidR="00D420E0" w:rsidRPr="00B77A01" w:rsidRDefault="00D420E0" w:rsidP="0069774D">
      <w:pPr>
        <w:spacing w:after="0" w:line="360" w:lineRule="auto"/>
        <w:jc w:val="both"/>
      </w:pPr>
      <w:r w:rsidRPr="00B77A01">
        <w:t xml:space="preserve">Akcijski plan zasniva se na nizu međunarodnih i hrvatskih strateških dokumenata koji prevenciju kroničnih nezaraznih bolesti (dalje KNB)  ističu u prvi plan.  </w:t>
      </w:r>
      <w:r w:rsidRPr="00B77A01">
        <w:rPr>
          <w:b/>
        </w:rPr>
        <w:t>Zdravlje 2020</w:t>
      </w:r>
      <w:r w:rsidRPr="00B77A01">
        <w:t xml:space="preserve"> predstavlja strateški okvir za razvoj zdravstvene politike koji prevenciju KNB uvrštava među četiri prioriteta u razvoju zdravstvenih politika. Cilj razvoja zdravstvene</w:t>
      </w:r>
      <w:r>
        <w:t xml:space="preserve"> politike u prevenciji KNB jest</w:t>
      </w:r>
      <w:r w:rsidRPr="00B77A01">
        <w:t xml:space="preserve"> razvoj  učinkovitih javno-zdravstvenih intervencija koje predstavljaju koordiniranu akciju u najširem smislu, a koja uključuje suradnju zdravstvenog sustava, civilnog sektora i drugih resora vlade. Javno zdravstvo u tom smislu ima važnu ulogu zagovaranja, predlaganja i suradnje u provođenju intervencija koje moraju osiguravati jednakost u zdravlju, voditi računa o socijalnim odrednicama zdravlja te potrebe osiguravanja zdravog okoliša koji osnažuje i podržava pojedinca i zajednicu u održavanju i unapređenju zdravlja. Intervencije, koje moraju biti međusobno usklađene i  nadopunjavati se,  zahtijevaju kombinaciju različitih pristupa upravljanju – centraliziranog, decentraliziranog i participativnog – a sve u cilju osiguranja zdravlja i blagostanja za sve.  </w:t>
      </w:r>
    </w:p>
    <w:p w:rsidR="00D420E0" w:rsidRPr="00B77A01" w:rsidRDefault="00D420E0" w:rsidP="0069774D">
      <w:pPr>
        <w:spacing w:after="0" w:line="360" w:lineRule="auto"/>
        <w:jc w:val="both"/>
      </w:pPr>
      <w:r w:rsidRPr="00B77A01">
        <w:t xml:space="preserve">Osnovni principi Zdravlje 2020  koji su ugrađeni u  </w:t>
      </w:r>
      <w:r w:rsidRPr="00B77A01">
        <w:rPr>
          <w:b/>
        </w:rPr>
        <w:t>Europsku strategiju za prevenciju i kontrolu ne-zaraznih bolesti 2012.-2016</w:t>
      </w:r>
      <w:r w:rsidRPr="00B77A01">
        <w:t>. bili su smjernica u razvoju ovog Akcijskog plana. Među ključnim porukama su:</w:t>
      </w:r>
    </w:p>
    <w:p w:rsidR="00D420E0" w:rsidRPr="00B77A01" w:rsidRDefault="00D420E0" w:rsidP="005B40CE">
      <w:pPr>
        <w:pStyle w:val="Odlomakpopisa"/>
        <w:numPr>
          <w:ilvl w:val="0"/>
          <w:numId w:val="4"/>
        </w:numPr>
        <w:spacing w:after="0" w:line="360" w:lineRule="auto"/>
        <w:jc w:val="both"/>
      </w:pPr>
      <w:r w:rsidRPr="00B77A01">
        <w:t xml:space="preserve">ulaganje u  prevenciju mora se smatrati ulaganjem u zdravlje bez kojeg nije moguće osigurati održivi razvoj društva. </w:t>
      </w:r>
    </w:p>
    <w:p w:rsidR="00D420E0" w:rsidRPr="00B77A01" w:rsidRDefault="00D420E0" w:rsidP="005B40CE">
      <w:pPr>
        <w:pStyle w:val="Odlomakpopisa"/>
        <w:numPr>
          <w:ilvl w:val="0"/>
          <w:numId w:val="4"/>
        </w:numPr>
        <w:spacing w:after="0" w:line="360" w:lineRule="auto"/>
        <w:jc w:val="both"/>
      </w:pPr>
      <w:r w:rsidRPr="00B77A01">
        <w:t xml:space="preserve">održivi razvoj društva neće biti moguć bez osiguranja okoliša koji podupire zdravlje i koji olakšava pojedincu odabir zdravih opcija.  </w:t>
      </w:r>
    </w:p>
    <w:p w:rsidR="00D420E0" w:rsidRPr="00B77A01" w:rsidRDefault="00D420E0" w:rsidP="005B40CE">
      <w:pPr>
        <w:pStyle w:val="Odlomakpopisa"/>
        <w:numPr>
          <w:ilvl w:val="0"/>
          <w:numId w:val="4"/>
        </w:numPr>
        <w:spacing w:after="0" w:line="360" w:lineRule="auto"/>
        <w:jc w:val="both"/>
      </w:pPr>
      <w:r w:rsidRPr="00B77A01">
        <w:t xml:space="preserve">zdravstveni sustav treba se razvijati sukladno potrebama i teretu bolesti koje nosi stanovništvo uz osiguranje promicanja zdravlja tijekom cijelom životnog ciklusa. </w:t>
      </w:r>
    </w:p>
    <w:p w:rsidR="00D420E0" w:rsidRPr="00B77A01" w:rsidRDefault="00D420E0" w:rsidP="005B40CE">
      <w:pPr>
        <w:pStyle w:val="Odlomakpopisa"/>
        <w:numPr>
          <w:ilvl w:val="0"/>
          <w:numId w:val="4"/>
        </w:numPr>
        <w:spacing w:after="0" w:line="360" w:lineRule="auto"/>
        <w:jc w:val="both"/>
      </w:pPr>
      <w:r w:rsidRPr="00B77A01">
        <w:t xml:space="preserve">pojedinci bi trebali biti osnaženi za promicanje vlastitog zdravlja, korištenje zdravstvenih usluga i biti aktivni partneri zdravstvenim djelatnicima u svojoj bolesti. </w:t>
      </w:r>
    </w:p>
    <w:p w:rsidR="00D420E0" w:rsidRPr="00B77A01" w:rsidRDefault="00D420E0" w:rsidP="004B4372">
      <w:pPr>
        <w:spacing w:after="0" w:line="360" w:lineRule="auto"/>
        <w:ind w:left="360"/>
      </w:pPr>
    </w:p>
    <w:p w:rsidR="00D420E0" w:rsidRPr="00C06020" w:rsidRDefault="00D420E0" w:rsidP="009E0ED3">
      <w:pPr>
        <w:autoSpaceDE w:val="0"/>
        <w:autoSpaceDN w:val="0"/>
        <w:adjustRightInd w:val="0"/>
        <w:spacing w:after="80" w:line="360" w:lineRule="auto"/>
        <w:ind w:left="360"/>
        <w:jc w:val="both"/>
      </w:pPr>
      <w:r>
        <w:lastRenderedPageBreak/>
        <w:t>U</w:t>
      </w:r>
      <w:r w:rsidRPr="00B77A01">
        <w:t xml:space="preserve"> svibnju 2013. godine Svjetska zdravstvena skupština donijela je Globalni akcijski plan za prevenciju i kontrolu KNB 2013.-2020. koji državama članicama, međunarodnim partnerima i SZO pruža zajednički putokaz i izbornik opcija razvoja zdravstvene politike koja može pridonijeti ostvarenju 9 globalnih ciljeva koje treba postići do 2025. godine, uključujući i 25% relativno </w:t>
      </w:r>
      <w:r w:rsidRPr="00C06020">
        <w:t>smanjenje prerane smrtnosti od KNB do 2025. godine.</w:t>
      </w:r>
    </w:p>
    <w:p w:rsidR="00D420E0" w:rsidRPr="00B77A01" w:rsidRDefault="00D420E0" w:rsidP="0069774D">
      <w:pPr>
        <w:autoSpaceDE w:val="0"/>
        <w:autoSpaceDN w:val="0"/>
        <w:adjustRightInd w:val="0"/>
        <w:spacing w:after="0" w:line="360" w:lineRule="auto"/>
        <w:jc w:val="both"/>
      </w:pPr>
      <w:r w:rsidRPr="00C06020">
        <w:t xml:space="preserve">Akcijski plan nastavlja se na </w:t>
      </w:r>
      <w:r w:rsidRPr="00C06020">
        <w:rPr>
          <w:b/>
        </w:rPr>
        <w:t>Nacionalnu</w:t>
      </w:r>
      <w:r w:rsidRPr="00C06020">
        <w:t xml:space="preserve"> s</w:t>
      </w:r>
      <w:r w:rsidRPr="00C06020">
        <w:rPr>
          <w:b/>
        </w:rPr>
        <w:t>trategiju razvoja zdravstva 2012.-2020.</w:t>
      </w:r>
      <w:r w:rsidRPr="00C06020">
        <w:t xml:space="preserve"> koja naglašava  usmjerenost zdravstvenog sustava na prevenciju bolesti, za što je nužno postupno povećati udio preventivnih programa i aktivnosti u zdravstvenom proračunu. Naglasak u prevenciji treba biti na najvećim zdravstvenim problemima– kroničnim nezaraznim bolestima, ozljedama, mentalnim poremećajima te rizičnim oblicima ponašanja, uključujući pušenje, zlouporabu alkohola i droga, tjelesnu neaktivnost i loše prehrambene navike. Strategija predviđa poticanje preventivnih  aktivnosti u svim područjima i na svim razinama zdravstvene zaštite, osobito tamo gdje postoji veliki potencijal za jačanje preventivnog rada (timovi u primarnoj zdravstvenoj zaštiti, patronažna služba) kao i  tamo gdje preventivne aktivnosti dosad nisu</w:t>
      </w:r>
      <w:r w:rsidRPr="00B77A01">
        <w:t xml:space="preserve"> bile dovoljno zastupljene (npr. ljekarništvo). Naglašava se  potreba za boljim upravljanjem preventivnim aktivnostima i programima kako bi se poboljšala pokrivenost stanovništva i evaluacija pojedinih programa te omogućila koordinacija, racionalno planiranje, poticanje i usmjeravanje preventivnih aktivnosti u zajednici. </w:t>
      </w:r>
    </w:p>
    <w:p w:rsidR="00D420E0" w:rsidRPr="00B77A01" w:rsidRDefault="00D420E0" w:rsidP="0069774D">
      <w:pPr>
        <w:spacing w:after="0" w:line="360" w:lineRule="auto"/>
        <w:jc w:val="both"/>
      </w:pPr>
      <w:r w:rsidRPr="00B77A01">
        <w:rPr>
          <w:b/>
        </w:rPr>
        <w:t xml:space="preserve">Strateški plan razvoja javnog zdravstva 2012.-2015. </w:t>
      </w:r>
      <w:r w:rsidRPr="00B77A01">
        <w:t>prepoznaje potrebu unapređenja rada na primarnoj prevenciji kroničnih nezaraznih bolesti i utvrđuje potrebu izrade Akcijskog plana za prevenciju kroničnih nezaraznih bolesti.</w:t>
      </w:r>
    </w:p>
    <w:p w:rsidR="00D420E0" w:rsidRPr="00B77A01" w:rsidRDefault="00D420E0" w:rsidP="00647B2A">
      <w:pPr>
        <w:spacing w:after="0" w:line="360" w:lineRule="auto"/>
        <w:jc w:val="both"/>
      </w:pPr>
      <w:r w:rsidRPr="00B77A01">
        <w:rPr>
          <w:b/>
        </w:rPr>
        <w:t xml:space="preserve">Prevencija i kontrola kroničnih nezaraznih bolesti u zdravstvenoj mreži Jugoistočne Europe </w:t>
      </w:r>
      <w:r w:rsidRPr="00B77A01">
        <w:t>daje pregled postojećih alata za primjenu međusektorskog djelovanja i sadrži preporuke o ključnim akcijama kako bi se ojačala međusektorska suradnja u prevenciji i kontroli kroničnih nezaraznih bolesti u budućnosti.</w:t>
      </w:r>
    </w:p>
    <w:p w:rsidR="00D420E0" w:rsidRPr="00B77A01" w:rsidRDefault="00D420E0" w:rsidP="00647B2A">
      <w:pPr>
        <w:spacing w:after="0" w:line="360" w:lineRule="auto"/>
        <w:jc w:val="both"/>
        <w:rPr>
          <w:b/>
        </w:rPr>
      </w:pPr>
    </w:p>
    <w:p w:rsidR="00D420E0" w:rsidRPr="00B77A01" w:rsidRDefault="00D420E0" w:rsidP="008D2F05">
      <w:pPr>
        <w:pStyle w:val="Naslov1"/>
        <w:spacing w:before="0" w:after="80"/>
        <w:jc w:val="both"/>
      </w:pPr>
      <w:bookmarkStart w:id="6" w:name="_Toc410376396"/>
      <w:bookmarkStart w:id="7" w:name="_Toc414264385"/>
      <w:bookmarkStart w:id="8" w:name="_Toc410293653"/>
      <w:r w:rsidRPr="00B77A01">
        <w:t>Vodeće vrijednosti</w:t>
      </w:r>
      <w:bookmarkEnd w:id="6"/>
      <w:bookmarkEnd w:id="7"/>
      <w:r w:rsidRPr="00B77A01">
        <w:tab/>
      </w:r>
    </w:p>
    <w:p w:rsidR="00D420E0" w:rsidRPr="00B77A01" w:rsidRDefault="00D420E0" w:rsidP="008D2F05">
      <w:pPr>
        <w:spacing w:after="80"/>
        <w:jc w:val="both"/>
      </w:pPr>
      <w:r w:rsidRPr="00B77A01">
        <w:t>U razvoju Akcijskog plana ugrađene su sljedeće vrijednosti:</w:t>
      </w:r>
    </w:p>
    <w:p w:rsidR="00D420E0" w:rsidRPr="00B77A01" w:rsidRDefault="00D420E0" w:rsidP="003D178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 xml:space="preserve">Pravednost u zdravlju - svaki bi čovjek trebao imati pravo ostvariti svoj puni zdravstveni potencijal neovisno o svom društveno-ekonomskom položaju </w:t>
      </w:r>
    </w:p>
    <w:p w:rsidR="00D420E0" w:rsidRPr="00B77A01" w:rsidRDefault="00D420E0" w:rsidP="003D178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>Jačanje sustava zdravstva - na svim razinama, a osobito kroz osiguranje primarne zdravstvene zaštite i sustava javnog zdravstva, u području promicanja zdravlja, prevencije bolesti, ranog otkrivanja i integriranog pristupa liječenju i njezi oboljelih</w:t>
      </w:r>
    </w:p>
    <w:p w:rsidR="00D420E0" w:rsidRPr="00B77A01" w:rsidRDefault="00D420E0" w:rsidP="003D178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lastRenderedPageBreak/>
        <w:t>Zdravlje u svim politikama - ključan pristup obzirom da je utjecaj na većinu odrednica KNB izvan kontrole zdravstvenog sustava i napredak nije moguće ostvariti bez suradnje s drugim resorima (trgovine i fiskalne politike, obrazovanja, urbanizma i dr.)</w:t>
      </w:r>
    </w:p>
    <w:p w:rsidR="00D420E0" w:rsidRPr="00B77A01" w:rsidRDefault="00D420E0" w:rsidP="003D178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>Zdravlje za cijeli život - izloženost rizicima za KNB počinje tijekom trudnoće i kumulira se cijelog života što nameće potrebu sveobuhvatnog pristupa promicanju zdravlja uključivo i stvaranje okruženja koje olakšava suočavanje s invaliditetom, osigurava socijalnu zaštitu te dostupnost odgovarajuće zdravstvene skrbi</w:t>
      </w:r>
    </w:p>
    <w:p w:rsidR="00D420E0" w:rsidRPr="00B77A01" w:rsidRDefault="00D420E0" w:rsidP="00483E3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>Jačanje pojedinaca - kroz njihovo znanje i vještine za promicanje vlastitog zdravlja, znanja o mogućnostima prevencije i korištenja zdravstvenih usluga kako bi se svjesno suodlučivalo o vlastitom zdravlju</w:t>
      </w:r>
    </w:p>
    <w:p w:rsidR="00D420E0" w:rsidRPr="00B77A01" w:rsidRDefault="00D420E0" w:rsidP="00483E3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>Primjena populacijskog i pojedinačnog pristupa – istraživanja su pokazala kako se jedino kombinacijom intervencija koje su usmjerene na pojedinca s onima koje su usmjerene na populaciju može ostvariti najbolji učinak</w:t>
      </w:r>
    </w:p>
    <w:p w:rsidR="00D420E0" w:rsidRPr="00B77A01" w:rsidRDefault="00D420E0" w:rsidP="00483E33">
      <w:pPr>
        <w:pStyle w:val="Odlomakpopisa"/>
        <w:numPr>
          <w:ilvl w:val="0"/>
          <w:numId w:val="5"/>
        </w:numPr>
        <w:spacing w:after="80" w:line="360" w:lineRule="auto"/>
        <w:jc w:val="both"/>
      </w:pPr>
      <w:r w:rsidRPr="00B77A01">
        <w:t xml:space="preserve">Razvoj integriranih programa - dokazi govore da su intervencije  koje su svojim djelovanjem usmjerene na više odrednica KNB učinkovitije od onih koje su usmjerene na pojedinačne odrednice. </w:t>
      </w:r>
    </w:p>
    <w:p w:rsidR="00D420E0" w:rsidRPr="00B77A01" w:rsidRDefault="00D420E0" w:rsidP="00483E33">
      <w:pPr>
        <w:pStyle w:val="Odlomakpopisa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A03CE9">
        <w:t>Suradnja vladinog i nevladinog sektora – potrebno je osigurati međusobnu suradnju  resora</w:t>
      </w:r>
      <w:r w:rsidRPr="00B77A01">
        <w:t xml:space="preserve"> vlade na svim razinama, državnih i nedržavnih dionika kao što su civilno društvo, tvrtke i pojedinci.</w:t>
      </w:r>
    </w:p>
    <w:p w:rsidR="00D420E0" w:rsidRPr="00B77A01" w:rsidRDefault="00D420E0" w:rsidP="002108E7">
      <w:pPr>
        <w:spacing w:after="80"/>
        <w:ind w:left="284"/>
        <w:jc w:val="both"/>
      </w:pPr>
    </w:p>
    <w:p w:rsidR="00D420E0" w:rsidRPr="00B77A01" w:rsidRDefault="00D420E0" w:rsidP="008D2F05">
      <w:pPr>
        <w:pStyle w:val="Naslov1"/>
        <w:spacing w:before="0" w:line="360" w:lineRule="auto"/>
      </w:pPr>
      <w:bookmarkStart w:id="9" w:name="_Toc414264386"/>
      <w:r w:rsidRPr="00B77A01">
        <w:t>Povezanost s drugim značajni</w:t>
      </w:r>
      <w:r>
        <w:t>m</w:t>
      </w:r>
      <w:r w:rsidRPr="00B77A01">
        <w:t xml:space="preserve"> problemima</w:t>
      </w:r>
      <w:bookmarkEnd w:id="9"/>
    </w:p>
    <w:p w:rsidR="00D420E0" w:rsidRDefault="00D420E0" w:rsidP="00F43358">
      <w:pPr>
        <w:spacing w:line="360" w:lineRule="auto"/>
        <w:jc w:val="both"/>
        <w:rPr>
          <w:rFonts w:cs="Tahoma-Bold"/>
        </w:rPr>
      </w:pPr>
      <w:bookmarkStart w:id="10" w:name="_Toc410293654"/>
      <w:bookmarkEnd w:id="8"/>
      <w:r w:rsidRPr="00F43358">
        <w:rPr>
          <w:rFonts w:cs="Tahoma-Bold"/>
          <w:bCs/>
        </w:rPr>
        <w:t>Kronične bolesti (zarazne i nezarazne) međusobno dijele neka zajednička obilježja, imaju slične  uzroke kao što su ponašanje i okolišni čimbenici rizika; učestalu istovremenu prisutnost više bolesti u oboljelih; postojanje potrebe za razvoj sličnih modela skrbi koji integriraju socijalnu dimenziju, potrebu osnaživanja pacijenata na život s različitim bolestima, a koje jačaju zdravstvenu skrb orijentiranu na pacijenta nasuprot zdravstvene skrbi orijentirane bolestima. Pozornost na socio-ekonomsko okruženje i uvjete u kojima ljudi rastu, žive i stare, kao što su škola i radna mjesta, može dodatno doprinijeti zajedničkom pristupu u rješavanju međusobno povezanih problema.</w:t>
      </w:r>
    </w:p>
    <w:p w:rsidR="00D420E0" w:rsidRPr="00B77A01" w:rsidRDefault="00D420E0" w:rsidP="00F43358">
      <w:pPr>
        <w:spacing w:line="360" w:lineRule="auto"/>
        <w:jc w:val="both"/>
        <w:rPr>
          <w:color w:val="365F91"/>
          <w:sz w:val="28"/>
          <w:szCs w:val="28"/>
        </w:rPr>
      </w:pPr>
      <w:r w:rsidRPr="00AD113D">
        <w:rPr>
          <w:rFonts w:ascii="Cambria" w:hAnsi="Cambria"/>
          <w:b/>
          <w:color w:val="365F91"/>
          <w:sz w:val="28"/>
          <w:szCs w:val="28"/>
        </w:rPr>
        <w:t>Mentalno zdravlje</w:t>
      </w:r>
      <w:bookmarkEnd w:id="10"/>
    </w:p>
    <w:p w:rsidR="00D420E0" w:rsidRPr="00B77A01" w:rsidRDefault="00D420E0" w:rsidP="00C53F7E">
      <w:pPr>
        <w:spacing w:after="0" w:line="360" w:lineRule="auto"/>
        <w:jc w:val="both"/>
        <w:rPr>
          <w:rFonts w:cs="Tahoma-Bold"/>
          <w:bCs/>
        </w:rPr>
      </w:pPr>
      <w:bookmarkStart w:id="11" w:name="_Toc410293655"/>
      <w:r w:rsidRPr="00B77A01">
        <w:rPr>
          <w:rFonts w:cs="Tahoma-Bold"/>
          <w:bCs/>
        </w:rPr>
        <w:t xml:space="preserve">Procjene Svjetske zdravstvene organizacije za ukupan teret bolestima (DALYs) za Hrvatsku pokazuju situaciju sličnu europskim pokazateljima; mentalni i neurološki poremećaji na 2. su mjestu vodećih skupina, iza kardiovaskularnih bolesti s udjelom 20,7%  kod muškaraca i 25,6% kod žena. Također, među 10 vodećih pojedinačnih uzroka tri su iz skupine mentalnih poremećaja (unipolarni depresivni </w:t>
      </w:r>
      <w:r w:rsidRPr="00B77A01">
        <w:rPr>
          <w:rFonts w:cs="Tahoma-Bold"/>
          <w:bCs/>
        </w:rPr>
        <w:lastRenderedPageBreak/>
        <w:t>poremećaji, poremećaji uzrokovani alkoholom, Alzheimerova i druge demencije) s ukupnim udjelom od 14,8%.</w:t>
      </w:r>
    </w:p>
    <w:p w:rsidR="00D420E0" w:rsidRPr="00B77A01" w:rsidRDefault="00D420E0" w:rsidP="00C53F7E">
      <w:pPr>
        <w:spacing w:after="0" w:line="360" w:lineRule="auto"/>
        <w:jc w:val="both"/>
        <w:rPr>
          <w:rFonts w:cs="Tahoma-Bold"/>
          <w:bCs/>
        </w:rPr>
      </w:pPr>
      <w:r w:rsidRPr="00B77A01">
        <w:rPr>
          <w:rFonts w:cs="Tahoma-Bold"/>
          <w:bCs/>
        </w:rPr>
        <w:t>U Akcijskom planu za implementaciju Europske strategije za prevenciju i  kontrolu nezaraznih bolesti naglašena je čvrsta povezanost mentalnog i tjelesnog zdravlja te znatan udio mentalnih poremećaja u teretu nezaraznih bolesti. S druge strane naglašeno je postojanje znanstveno dokazanih, specifičnih i jedinstvenih zahtjeva u zaštiti mentalnog zdravlja te potrebi za postojanjem usklađenih, ali zasebnih  strategija i akcijskih planova za nezarazne bolesti i zaštitu mentalnog zdravlja. Slijedom toga ovaj Akcijski plan neće razvijati posebne aktivnosti u području mentalnog zdravlja.</w:t>
      </w:r>
    </w:p>
    <w:p w:rsidR="00D420E0" w:rsidRPr="00B77A01" w:rsidRDefault="00D420E0" w:rsidP="00C53F7E">
      <w:pPr>
        <w:pStyle w:val="Naslov2"/>
        <w:rPr>
          <w:sz w:val="28"/>
          <w:szCs w:val="28"/>
        </w:rPr>
      </w:pPr>
      <w:bookmarkStart w:id="12" w:name="_Toc409792268"/>
      <w:bookmarkStart w:id="13" w:name="_Toc414264387"/>
      <w:bookmarkStart w:id="14" w:name="_Toc410293656"/>
      <w:bookmarkEnd w:id="11"/>
      <w:r w:rsidRPr="00B77A01">
        <w:rPr>
          <w:sz w:val="28"/>
          <w:szCs w:val="28"/>
        </w:rPr>
        <w:t>Zarazne bolesti</w:t>
      </w:r>
      <w:bookmarkEnd w:id="12"/>
      <w:bookmarkEnd w:id="13"/>
    </w:p>
    <w:p w:rsidR="00D420E0" w:rsidRPr="00B77A01" w:rsidRDefault="00D420E0" w:rsidP="00C53F7E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D420E0" w:rsidRPr="00B77A01" w:rsidRDefault="00D420E0" w:rsidP="00C53F7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B77A01">
        <w:rPr>
          <w:rFonts w:ascii="Calibri" w:hAnsi="Calibri"/>
          <w:sz w:val="22"/>
          <w:szCs w:val="22"/>
        </w:rPr>
        <w:t>Neki od uzročnika zaraznih bolesti prepoznati su i kao uzročnici kasnijeg razvoja kroničnih oboljenja u ljudi. Tako su infekcije virusima hepatitisa B i C jedan od glavnih medicinskih problema diljem svijeta zbog mogućeg razvoja kroničnog hepatitisa, ciroze jetre i hepatocelularnog karcinoma.  U Hrvatskoj se zadnjih godina godišnje evidentira oko 200 novootkrivenih hepatitis B infekcija (asimptomatskih nositelja virusa i akutno oboljelih od hepatitisa B zajedno), te isto toliko hepatitis C infekcija. Također, humani papiloma virus (HPV) uzrokuje karcinom cerviksa koji je u svijetu drugi najčešći karcinom u žena. Gotovo svi slučajevi karcinoma cerviksa (99%) povezani su s infekcijom HPV-om. Učinkovite mjere, među kojima valja istaknuti cijepljenje,  dovode do pada incidencije ovih bolesti, ali još uvijek dio oboljelih zahtjeva osiguranje kronične i palijativne skrbi koje je zajedničko KNB. Treba napomenuti da brojni uzročnici zaraznih bolesti mogu značajno pogoršati ionako narušeno zdravstveno stanje kroničnih bolesnika te dovesti do komplikacija pa i smrtnih ishoda. Stoga je bitno planirati i osigurati sinergijsko djelovanje preventivnih programa prevencije zaraznih i nezaraznih bolesti jer su mjere prevencije zaraznih bolesti važne upravo za kronične bolesnike i edukativne poruke preveniranja zaraznih bolesti trebaju biti pažljivo usmjerene na te skupine stanovništva. Dobar primjer iz prakse je gripa, odnosno cijepljenje protiv gripe osob</w:t>
      </w:r>
      <w:r>
        <w:rPr>
          <w:rFonts w:ascii="Calibri" w:hAnsi="Calibri"/>
          <w:sz w:val="22"/>
          <w:szCs w:val="22"/>
        </w:rPr>
        <w:t>a</w:t>
      </w:r>
      <w:r w:rsidRPr="00B77A01">
        <w:rPr>
          <w:rFonts w:ascii="Calibri" w:hAnsi="Calibri"/>
          <w:sz w:val="22"/>
          <w:szCs w:val="22"/>
        </w:rPr>
        <w:t xml:space="preserve"> s kroničnim bolestima koje se provodi već dugi niz godina kako bi kod njih prevenirali teške oblike gripe i spriječili smrtne ishode.  Rizični čimbenici koji su rizični čimbenici za neke KNB kao što su pušenje i prekomjerno pijenje javljaju se kao prateći problem i u osoba oboljelih od TBC-a.  </w:t>
      </w:r>
    </w:p>
    <w:p w:rsidR="00D420E0" w:rsidRDefault="00D420E0" w:rsidP="00A11643">
      <w:pPr>
        <w:pStyle w:val="Naslov2"/>
        <w:rPr>
          <w:sz w:val="28"/>
          <w:szCs w:val="28"/>
        </w:rPr>
      </w:pPr>
      <w:bookmarkStart w:id="15" w:name="_Toc409792269"/>
      <w:bookmarkStart w:id="16" w:name="_Toc414264388"/>
      <w:bookmarkStart w:id="17" w:name="_Toc410293657"/>
      <w:bookmarkEnd w:id="14"/>
    </w:p>
    <w:p w:rsidR="00D420E0" w:rsidRPr="00B77A01" w:rsidRDefault="00D420E0" w:rsidP="00A11643">
      <w:pPr>
        <w:pStyle w:val="Naslov2"/>
        <w:rPr>
          <w:sz w:val="28"/>
          <w:szCs w:val="28"/>
        </w:rPr>
      </w:pPr>
      <w:r w:rsidRPr="00B77A01">
        <w:rPr>
          <w:sz w:val="28"/>
          <w:szCs w:val="28"/>
        </w:rPr>
        <w:t>Okoliš i zdravlje</w:t>
      </w:r>
      <w:bookmarkEnd w:id="15"/>
      <w:bookmarkEnd w:id="16"/>
    </w:p>
    <w:p w:rsidR="00D420E0" w:rsidRPr="00B77A01" w:rsidRDefault="00D420E0" w:rsidP="00A11643">
      <w:pPr>
        <w:spacing w:after="0" w:line="360" w:lineRule="auto"/>
        <w:jc w:val="both"/>
        <w:rPr>
          <w:sz w:val="28"/>
          <w:szCs w:val="28"/>
        </w:rPr>
      </w:pPr>
    </w:p>
    <w:p w:rsidR="00D420E0" w:rsidRPr="00B77A01" w:rsidRDefault="00D420E0" w:rsidP="00A11643">
      <w:pPr>
        <w:spacing w:after="0" w:line="360" w:lineRule="auto"/>
        <w:jc w:val="both"/>
      </w:pPr>
      <w:r w:rsidRPr="00B77A01">
        <w:t xml:space="preserve">Značajan dio KNB tereta posljedica je izloženosti utjecaju okoliša i radne okoline. Svjetska zdravstvena organizacija procijenila je da zagađenje zraka u okolišu sudjeluje s udjelom od 0,6% </w:t>
      </w:r>
      <w:r w:rsidRPr="00B77A01">
        <w:lastRenderedPageBreak/>
        <w:t>među deset vodećih rizičnih čimbenika povezanih s ukupnom smrtnošću u Hrvatskoj (The European Health Report 2005). Prema pr</w:t>
      </w:r>
      <w:r>
        <w:t>ocjenama SZO</w:t>
      </w:r>
      <w:r w:rsidRPr="00B77A01">
        <w:t xml:space="preserve"> oko 2% ukupnih smrti u Hrvatskoj vezano je uz onečišćenje zraka (The European Health Report 2009.).</w:t>
      </w:r>
    </w:p>
    <w:p w:rsidR="00D420E0" w:rsidRPr="00B77A01" w:rsidRDefault="00D420E0" w:rsidP="00A11643">
      <w:pPr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>Tjelesna</w:t>
      </w:r>
      <w:r w:rsidRPr="00B77A01">
        <w:rPr>
          <w:rFonts w:cs="TimesNewRomanPSMT"/>
        </w:rPr>
        <w:t xml:space="preserve"> aktivnost pod utjecajem je okolišnih uvjeta poput razvoja prometne infrastrukture i urbaniziranosti prostora u kojem ljudi žive. Razvojem sigurne infrastrukture može se poticati primjerice prijevoz biciklom i pješačenjem. Osiguranje dostupnih zelenih površina za tjelesnu aktivnost u slobodno vrijeme preduvjet su za uspješno poticanje promjene  ponašanja. </w:t>
      </w:r>
    </w:p>
    <w:p w:rsidR="00D420E0" w:rsidRPr="00B77A01" w:rsidRDefault="00D420E0" w:rsidP="00A11643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>Prihvatljiva i održiva politika koja se odnosi na okoliš i zdravlje može izravno pridonijeti smanjenju teret</w:t>
      </w:r>
      <w:r>
        <w:rPr>
          <w:rFonts w:cs="TimesNewRomanPSMT"/>
        </w:rPr>
        <w:t>a</w:t>
      </w:r>
      <w:r w:rsidRPr="00B77A01">
        <w:rPr>
          <w:rFonts w:cs="TimesNewRomanPSMT"/>
        </w:rPr>
        <w:t xml:space="preserve"> KNB.</w:t>
      </w:r>
    </w:p>
    <w:p w:rsidR="00D420E0" w:rsidRPr="00B77A01" w:rsidRDefault="00D420E0" w:rsidP="00A11643">
      <w:pPr>
        <w:pStyle w:val="Naslov2"/>
        <w:rPr>
          <w:sz w:val="28"/>
          <w:szCs w:val="28"/>
        </w:rPr>
      </w:pPr>
      <w:bookmarkStart w:id="18" w:name="_Toc409792270"/>
      <w:bookmarkStart w:id="19" w:name="_Toc414264389"/>
      <w:bookmarkStart w:id="20" w:name="_Toc410293660"/>
      <w:bookmarkEnd w:id="17"/>
      <w:r w:rsidRPr="00B77A01">
        <w:rPr>
          <w:sz w:val="28"/>
          <w:szCs w:val="28"/>
        </w:rPr>
        <w:t>Ozljede</w:t>
      </w:r>
      <w:bookmarkEnd w:id="18"/>
      <w:bookmarkEnd w:id="19"/>
    </w:p>
    <w:p w:rsidR="00D420E0" w:rsidRPr="00B77A01" w:rsidRDefault="00D420E0" w:rsidP="00A11643">
      <w:pPr>
        <w:spacing w:after="0" w:line="360" w:lineRule="auto"/>
        <w:jc w:val="both"/>
        <w:rPr>
          <w:rFonts w:cs="TimesNewRomanPSMT"/>
        </w:rPr>
      </w:pPr>
    </w:p>
    <w:p w:rsidR="00D420E0" w:rsidRDefault="00D420E0" w:rsidP="00A11643">
      <w:pPr>
        <w:spacing w:after="0" w:line="360" w:lineRule="auto"/>
        <w:jc w:val="both"/>
        <w:rPr>
          <w:rFonts w:cs="TimesNewRomanPSMT"/>
        </w:rPr>
      </w:pPr>
      <w:r w:rsidRPr="00B77A01">
        <w:rPr>
          <w:rFonts w:cs="TimesNewRomanPSMT"/>
        </w:rPr>
        <w:t>Ozljede su važan javnozdravstveni problem u Hrvatskoj zbog značajnog udjela u ukupnoj smrtnosti i pobolu, a nerijetko dovode i do trajnih posljedica po zdravlje. Značajno opterećuju zdravstveni sustav, uzrokuju visoke troškove i u konačnici utječu na socijalni i ekonomski razvoj države. U</w:t>
      </w:r>
      <w:r>
        <w:rPr>
          <w:rFonts w:cs="TimesNewRomanPSMT"/>
        </w:rPr>
        <w:t xml:space="preserve"> </w:t>
      </w:r>
      <w:r w:rsidRPr="00EA500D">
        <w:rPr>
          <w:rFonts w:cs="TimesNewRomanPSMT"/>
        </w:rPr>
        <w:t xml:space="preserve">kontekstu povezanosti s nezaraznim bolestima može se naglasiti veza s tjelesnom neaktivnošću zbog načina života - putovanja osobnim automobilima i drugim načinima prijevoza. Ozljede imaju zajedničke rizike s drugim nezaraznim bolestima u smislu socioekonomskih nejednakosti i štetnog utjecaja konzumacije alkohola. </w:t>
      </w:r>
    </w:p>
    <w:p w:rsidR="00D420E0" w:rsidRPr="00EA500D" w:rsidRDefault="00D420E0" w:rsidP="006209AB">
      <w:pPr>
        <w:tabs>
          <w:tab w:val="left" w:pos="469"/>
          <w:tab w:val="left" w:pos="1038"/>
        </w:tabs>
        <w:spacing w:after="0" w:line="360" w:lineRule="auto"/>
        <w:jc w:val="both"/>
        <w:rPr>
          <w:rFonts w:cs="TimesNewRomanPSMT"/>
        </w:rPr>
      </w:pPr>
      <w:r>
        <w:rPr>
          <w:rFonts w:cs="TimesNewRomanPSMT"/>
        </w:rPr>
        <w:tab/>
      </w:r>
    </w:p>
    <w:bookmarkEnd w:id="20"/>
    <w:p w:rsidR="00D420E0" w:rsidRPr="00B77A01" w:rsidRDefault="00D420E0" w:rsidP="00C674FC">
      <w:pPr>
        <w:spacing w:after="0" w:line="360" w:lineRule="auto"/>
        <w:jc w:val="both"/>
      </w:pPr>
    </w:p>
    <w:p w:rsidR="00D420E0" w:rsidRPr="00B77A01" w:rsidRDefault="00D420E0">
      <w:r w:rsidRPr="00B77A01">
        <w:br w:type="page"/>
      </w:r>
    </w:p>
    <w:p w:rsidR="00D420E0" w:rsidRPr="00B77A01" w:rsidRDefault="00D420E0" w:rsidP="00C674FC">
      <w:pPr>
        <w:spacing w:after="0" w:line="360" w:lineRule="auto"/>
        <w:jc w:val="both"/>
        <w:sectPr w:rsidR="00D420E0" w:rsidRPr="00B77A01" w:rsidSect="00140725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20E0" w:rsidRPr="00B77A01" w:rsidRDefault="00D420E0" w:rsidP="00F85F95">
      <w:pPr>
        <w:pStyle w:val="Naslov1"/>
        <w:spacing w:before="0" w:line="360" w:lineRule="auto"/>
        <w:rPr>
          <w:b w:val="0"/>
          <w:bCs w:val="0"/>
        </w:rPr>
      </w:pPr>
      <w:bookmarkStart w:id="21" w:name="_Toc414264391"/>
      <w:r w:rsidRPr="00B77A01">
        <w:lastRenderedPageBreak/>
        <w:t>Prioritetne intervencije</w:t>
      </w:r>
    </w:p>
    <w:p w:rsidR="00D420E0" w:rsidRPr="00F85F95" w:rsidRDefault="00D420E0" w:rsidP="00F85F95">
      <w:pPr>
        <w:pStyle w:val="Naslov1"/>
      </w:pPr>
      <w:r w:rsidRPr="00B77A01">
        <w:t>Kronične nezarazne bolesti – prevencija i Akcijski plan 2015</w:t>
      </w:r>
      <w:r>
        <w:t>.</w:t>
      </w:r>
      <w:r w:rsidRPr="00B77A01">
        <w:t xml:space="preserve"> – 2020</w:t>
      </w:r>
      <w:r>
        <w:t>.</w:t>
      </w:r>
      <w:r w:rsidRPr="00B77A01">
        <w:t xml:space="preserve"> za Hrvatsku</w:t>
      </w:r>
      <w:bookmarkEnd w:id="21"/>
      <w:r w:rsidRPr="00B77A01">
        <w:t xml:space="preserve">Vizija: </w:t>
      </w:r>
      <w:r w:rsidRPr="00B77A01">
        <w:rPr>
          <w:i/>
        </w:rPr>
        <w:t>Hrvatska – slobodna od tereta kroničnih nezaraznih bolesti koji se mogu izbjeći.</w:t>
      </w:r>
    </w:p>
    <w:p w:rsidR="00D420E0" w:rsidRPr="00B77A01" w:rsidRDefault="00D420E0" w:rsidP="00C9698C">
      <w:pPr>
        <w:spacing w:after="0"/>
        <w:rPr>
          <w:b/>
          <w:i/>
          <w:sz w:val="28"/>
          <w:szCs w:val="28"/>
        </w:rPr>
      </w:pPr>
      <w:r w:rsidRPr="00B77A01">
        <w:rPr>
          <w:b/>
          <w:sz w:val="28"/>
          <w:szCs w:val="28"/>
        </w:rPr>
        <w:t xml:space="preserve">Cilj: </w:t>
      </w:r>
      <w:r w:rsidRPr="00B77A01">
        <w:rPr>
          <w:b/>
          <w:i/>
          <w:sz w:val="28"/>
          <w:szCs w:val="28"/>
        </w:rPr>
        <w:t>Smanjiti teret od KNB, ključne prepreke za ekonomski i održivi razvoj, putem međusektorske suradnje</w:t>
      </w:r>
    </w:p>
    <w:p w:rsidR="00D420E0" w:rsidRPr="00B77A01" w:rsidRDefault="00D420E0" w:rsidP="00C9698C">
      <w:pPr>
        <w:spacing w:after="0"/>
        <w:rPr>
          <w:b/>
          <w:sz w:val="28"/>
          <w:szCs w:val="28"/>
        </w:rPr>
      </w:pPr>
    </w:p>
    <w:tbl>
      <w:tblPr>
        <w:tblW w:w="14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958"/>
        <w:gridCol w:w="8"/>
        <w:gridCol w:w="12"/>
        <w:gridCol w:w="45"/>
        <w:gridCol w:w="1400"/>
        <w:gridCol w:w="82"/>
        <w:gridCol w:w="16"/>
        <w:gridCol w:w="10"/>
        <w:gridCol w:w="1541"/>
        <w:gridCol w:w="10"/>
        <w:gridCol w:w="18"/>
        <w:gridCol w:w="12"/>
        <w:gridCol w:w="542"/>
        <w:gridCol w:w="7"/>
        <w:gridCol w:w="18"/>
        <w:gridCol w:w="8"/>
        <w:gridCol w:w="546"/>
        <w:gridCol w:w="6"/>
        <w:gridCol w:w="7"/>
        <w:gridCol w:w="8"/>
        <w:gridCol w:w="552"/>
        <w:gridCol w:w="7"/>
        <w:gridCol w:w="561"/>
        <w:gridCol w:w="6"/>
        <w:gridCol w:w="63"/>
        <w:gridCol w:w="508"/>
        <w:gridCol w:w="119"/>
        <w:gridCol w:w="449"/>
        <w:gridCol w:w="139"/>
        <w:gridCol w:w="39"/>
        <w:gridCol w:w="1368"/>
        <w:gridCol w:w="296"/>
        <w:gridCol w:w="1803"/>
        <w:gridCol w:w="1276"/>
        <w:gridCol w:w="49"/>
        <w:gridCol w:w="12"/>
      </w:tblGrid>
      <w:tr w:rsidR="00D420E0" w:rsidRPr="004E71E3" w:rsidTr="004E71E3">
        <w:trPr>
          <w:gridAfter w:val="2"/>
          <w:wAfter w:w="61" w:type="dxa"/>
          <w:trHeight w:val="389"/>
        </w:trPr>
        <w:tc>
          <w:tcPr>
            <w:tcW w:w="14695" w:type="dxa"/>
            <w:gridSpan w:val="35"/>
            <w:shd w:val="clear" w:color="auto" w:fill="00B0F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4E71E3">
              <w:rPr>
                <w:rFonts w:cs="Calibri"/>
                <w:b/>
                <w:sz w:val="28"/>
                <w:szCs w:val="28"/>
              </w:rPr>
              <w:t>Područje: Uprava</w:t>
            </w: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4695" w:type="dxa"/>
            <w:gridSpan w:val="35"/>
            <w:shd w:val="clear" w:color="auto" w:fill="FFFF0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 xml:space="preserve">Cilj 1:Ojačati nacionalni kapacitet, vodstvo, upravu, multisektorsko djelovanje i partnerstva kako bi se ubrzao odgovor države u vezi prevencije i kontrole nezaraznih bolesti </w:t>
            </w: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3233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Aktivnosti</w:t>
            </w:r>
          </w:p>
        </w:tc>
        <w:tc>
          <w:tcPr>
            <w:tcW w:w="1445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Ciljevi</w:t>
            </w:r>
          </w:p>
        </w:tc>
        <w:tc>
          <w:tcPr>
            <w:tcW w:w="1659" w:type="dxa"/>
            <w:gridSpan w:val="5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Indikator(i) mjerenja rezultata</w:t>
            </w:r>
          </w:p>
        </w:tc>
        <w:tc>
          <w:tcPr>
            <w:tcW w:w="3437" w:type="dxa"/>
            <w:gridSpan w:val="18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Vremenski raspored</w:t>
            </w:r>
          </w:p>
        </w:tc>
        <w:tc>
          <w:tcPr>
            <w:tcW w:w="1842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Odgovorna tijela</w:t>
            </w:r>
          </w:p>
        </w:tc>
        <w:tc>
          <w:tcPr>
            <w:tcW w:w="1803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Partnerske organizacije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 xml:space="preserve">Financije (kn) </w:t>
            </w:r>
          </w:p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2015.- 2017.</w:t>
            </w:r>
          </w:p>
        </w:tc>
      </w:tr>
      <w:tr w:rsidR="00D420E0" w:rsidRPr="004E71E3" w:rsidTr="004E71E3">
        <w:trPr>
          <w:gridAfter w:val="2"/>
          <w:wAfter w:w="61" w:type="dxa"/>
          <w:cantSplit/>
          <w:trHeight w:val="718"/>
        </w:trPr>
        <w:tc>
          <w:tcPr>
            <w:tcW w:w="3233" w:type="dxa"/>
            <w:gridSpan w:val="4"/>
            <w:vMerge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5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59" w:type="dxa"/>
            <w:gridSpan w:val="5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2015</w:t>
            </w:r>
          </w:p>
        </w:tc>
        <w:tc>
          <w:tcPr>
            <w:tcW w:w="572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2016</w:t>
            </w:r>
          </w:p>
        </w:tc>
        <w:tc>
          <w:tcPr>
            <w:tcW w:w="573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2017</w:t>
            </w:r>
          </w:p>
        </w:tc>
        <w:tc>
          <w:tcPr>
            <w:tcW w:w="568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2018</w:t>
            </w:r>
          </w:p>
        </w:tc>
        <w:tc>
          <w:tcPr>
            <w:tcW w:w="577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2019</w:t>
            </w:r>
          </w:p>
        </w:tc>
        <w:tc>
          <w:tcPr>
            <w:tcW w:w="568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2020</w:t>
            </w:r>
          </w:p>
        </w:tc>
        <w:tc>
          <w:tcPr>
            <w:tcW w:w="1842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4364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1.1</w:t>
            </w: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Uspostaviti mehanizam u tijeku koji će olakšati razvoj i implementaciju Akcijskog plana za KNB koji je odgovoran Saboru</w:t>
            </w:r>
          </w:p>
        </w:tc>
        <w:tc>
          <w:tcPr>
            <w:tcW w:w="1457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Uspostavljeno vijeće</w:t>
            </w:r>
          </w:p>
        </w:tc>
        <w:tc>
          <w:tcPr>
            <w:tcW w:w="582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Međuministarsko vijeće  koje uključuje sljedeća ministarstva </w:t>
            </w:r>
            <w:r>
              <w:rPr>
                <w:rFonts w:cs="Calibri"/>
              </w:rPr>
              <w:t xml:space="preserve">nadležna za zdravlje, znanost, </w:t>
            </w:r>
            <w:r w:rsidRPr="004E71E3">
              <w:rPr>
                <w:rFonts w:cs="Calibri"/>
              </w:rPr>
              <w:t>Obrazovanje i sport, financije, promet, zaštitu okoliša, poljoprivredu, socijalnu politiku, pravosuđe, gospodarstvo,  upravu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Lokalna   uprave, specijalizirane agencije, nevladine organizacije, organizacije civilnog društva, privatni sektor.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1.2</w:t>
            </w: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Ojačati institucionalni kapacitet i radnu snagu kako bi se implementiralo međusektorsko djelovanje.</w:t>
            </w:r>
          </w:p>
        </w:tc>
        <w:tc>
          <w:tcPr>
            <w:tcW w:w="1457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obrazovnih radionica  koje upućuju na međusektorske pristupe i alate.</w:t>
            </w:r>
          </w:p>
        </w:tc>
        <w:tc>
          <w:tcPr>
            <w:tcW w:w="58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ind w:left="284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MZOS, SZO Regionalni ured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1.3</w:t>
            </w: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Podržati i ubrzati implementaciju vizije SEE 2020 (JI Europa 2020) koja uključuje stub  zdravlja unutar poglavlja  o uključivom rastu</w:t>
            </w:r>
          </w:p>
        </w:tc>
        <w:tc>
          <w:tcPr>
            <w:tcW w:w="1457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4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Uspostavljen međusektorski forum za  prevenciju KNB</w:t>
            </w:r>
          </w:p>
        </w:tc>
        <w:tc>
          <w:tcPr>
            <w:tcW w:w="582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MSPM, MRMS, MF, MZOS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Regionalno vijeće JI Europe za suradnju 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1.4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Analizirati  međunarodnu evidencijui istražiti održivost uvođenja mjera sveobuhvatne fiskalne politike koje uključuju dostupnost, raspoloživost i prihvatljivost zdravijih prehrambenih proizvoda</w:t>
            </w:r>
          </w:p>
        </w:tc>
        <w:tc>
          <w:tcPr>
            <w:tcW w:w="1457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Uvedene fiskalne promjene koje utječu na dostupnost zdravijih proizvoda </w:t>
            </w:r>
          </w:p>
        </w:tc>
        <w:tc>
          <w:tcPr>
            <w:tcW w:w="164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uvedenih fiskalnih promjena</w:t>
            </w:r>
          </w:p>
        </w:tc>
        <w:tc>
          <w:tcPr>
            <w:tcW w:w="582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</w:t>
            </w:r>
            <w:r w:rsidRPr="004E71E3">
              <w:rPr>
                <w:rStyle w:val="Referencakomentara"/>
                <w:rFonts w:cs="Calibri"/>
                <w:sz w:val="22"/>
                <w:szCs w:val="22"/>
              </w:rPr>
              <w:t xml:space="preserve">, MPolj., </w:t>
            </w:r>
            <w:r w:rsidRPr="004E71E3">
              <w:rPr>
                <w:rFonts w:cs="Calibri"/>
              </w:rPr>
              <w:t>HAH, AZOO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Prehrambena industrija,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trgovci na malo, dobavljači hrane, kuhari, itd.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Mediji (nacionalni, regionalni i lokalni) 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4695" w:type="dxa"/>
            <w:gridSpan w:val="35"/>
            <w:tcBorders>
              <w:top w:val="nil"/>
            </w:tcBorders>
            <w:shd w:val="clear" w:color="auto" w:fill="00B0F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4E71E3">
              <w:rPr>
                <w:rFonts w:cs="Calibri"/>
                <w:b/>
                <w:sz w:val="28"/>
                <w:szCs w:val="28"/>
              </w:rPr>
              <w:lastRenderedPageBreak/>
              <w:t>Područje: Promicanje zdravlja</w:t>
            </w: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4695" w:type="dxa"/>
            <w:gridSpan w:val="35"/>
            <w:tcBorders>
              <w:top w:val="nil"/>
            </w:tcBorders>
            <w:shd w:val="clear" w:color="auto" w:fill="FFFF0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  <w:b/>
              </w:rPr>
              <w:t>Cilj 2:Smanjiti izmjenjive faktore rizika za kronične nezarazne bolesti i isticanje društvenih odrednica kroz stvaranje okruženja za promicanje zdravlja</w:t>
            </w: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Ciljevi</w:t>
            </w:r>
          </w:p>
        </w:tc>
        <w:tc>
          <w:tcPr>
            <w:tcW w:w="1966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Aktivnosti</w:t>
            </w:r>
          </w:p>
        </w:tc>
        <w:tc>
          <w:tcPr>
            <w:tcW w:w="1565" w:type="dxa"/>
            <w:gridSpan w:val="6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Namjene</w:t>
            </w:r>
          </w:p>
        </w:tc>
        <w:tc>
          <w:tcPr>
            <w:tcW w:w="1581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Indikatori mjerenja ishoda</w:t>
            </w:r>
          </w:p>
        </w:tc>
        <w:tc>
          <w:tcPr>
            <w:tcW w:w="3407" w:type="dxa"/>
            <w:gridSpan w:val="16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Vremenski raspored</w:t>
            </w:r>
          </w:p>
        </w:tc>
        <w:tc>
          <w:tcPr>
            <w:tcW w:w="1842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Odgovorna tijela</w:t>
            </w:r>
          </w:p>
        </w:tc>
        <w:tc>
          <w:tcPr>
            <w:tcW w:w="1803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Partnerske organizacije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 xml:space="preserve">Financije (kn) </w:t>
            </w:r>
          </w:p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2015.- 2017.</w:t>
            </w:r>
          </w:p>
        </w:tc>
      </w:tr>
      <w:tr w:rsidR="00D420E0" w:rsidRPr="004E71E3" w:rsidTr="004E71E3">
        <w:trPr>
          <w:gridAfter w:val="2"/>
          <w:wAfter w:w="61" w:type="dxa"/>
          <w:cantSplit/>
          <w:trHeight w:val="734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5" w:type="dxa"/>
            <w:gridSpan w:val="6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1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2015</w:t>
            </w:r>
          </w:p>
        </w:tc>
        <w:tc>
          <w:tcPr>
            <w:tcW w:w="560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2016</w:t>
            </w:r>
          </w:p>
        </w:tc>
        <w:tc>
          <w:tcPr>
            <w:tcW w:w="574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2017</w:t>
            </w:r>
          </w:p>
        </w:tc>
        <w:tc>
          <w:tcPr>
            <w:tcW w:w="567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2018</w:t>
            </w:r>
          </w:p>
        </w:tc>
        <w:tc>
          <w:tcPr>
            <w:tcW w:w="571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2019</w:t>
            </w:r>
          </w:p>
        </w:tc>
        <w:tc>
          <w:tcPr>
            <w:tcW w:w="568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2020</w:t>
            </w:r>
          </w:p>
        </w:tc>
        <w:tc>
          <w:tcPr>
            <w:tcW w:w="1842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60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  <w:r w:rsidRPr="004E71E3">
              <w:rPr>
                <w:rFonts w:cs="Calibri"/>
              </w:rPr>
              <w:t>Prehrana</w:t>
            </w: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2.1.1 Olakšati zdrav odabir putem oznaka „Živjeti zdravo“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Prepoznatljivost oznaka „Živjeti zdravo“; povećati svijest o zdravoj hrani i odgovarajućoj prehrani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proizvoda s oznakom „Živjeti zdravo“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HZJZ,MPolj., HAH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Prehrambena industrija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(pekare, itd.)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266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2.1.2 Reguliranje trans-masti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Stvaranje, implementacija i praćenje mjera politike  koje smanjuju trans-masti u hrani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MZ, HZJZ,MPolj., HAH 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Prehrambena industrija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Trgovci na malo i dobavljači hrane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558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2.1.3 Smanjenje dnevnog unosa soli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Unos soli / natrija -  20% relativno smanjenje kod prosječne populacije 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ind w:left="360"/>
              <w:rPr>
                <w:rFonts w:cs="Calibri"/>
              </w:rPr>
            </w:pPr>
            <w:r w:rsidRPr="004E71E3">
              <w:rPr>
                <w:rFonts w:cs="Calibri"/>
              </w:rPr>
              <w:t>9/g/po osobi na dan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HZJZ,MPolj., HAH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Prehrambena industrija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Privatni sektor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435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2.1.4 Politika prehrane u školi – primjena Nacionalnih smjernica za prehranu u školi, oblikovanje nutritienata, aparata za prodaju hrane, učenje o zdravoj prehrani u školama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Poboljšanje prehrane i smanjenje debljine kod djece u školama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MK, HAH, MZOS, AZOO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Industrija hrane i pića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Privatni sektor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6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2.1.5  Odrediti izvedivost implementacije niza preporuka SZO o oglašavanju hrane i bezalkoholnih pića djeci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Promjena u oglašavanju hrane i bezalkoholnih pića u skladu s nizom preporuka SZO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MK, MPolj.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Industrija hrane i pića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Privatni sektor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SZO Regionalni ured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6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2.1.6 Praćenje  debljine kod djece kroz COSI (Inicijativa za praćenje debljine kod djece) (dio za nadzor)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Nadzor debljine kod djece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Medicinski timovi za škole i adolescente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3347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2.1.7 Osigurati  ravnomjerno visok standard  promicanja dojenja, zaštite i podrške kroz politike o dojenju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Provesti  informativne javne kampanje s dokazima te socijalne marketinške inicijative kako bi se potrošači potakli i obavijestili o dojenju, osobito trudnice i obitelji s malom djecom</w:t>
            </w: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kampanja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MK, MRMS, HZZO,HZJZ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Zdravstveni djelatnici (primarna i sekundarna zaštita)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SZO Regionalni ured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 (nacionalni, regionalni i lokalni)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123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color w:val="000000"/>
              </w:rPr>
            </w:pPr>
            <w:r w:rsidRPr="004E71E3">
              <w:rPr>
                <w:rFonts w:cs="Calibri"/>
              </w:rPr>
              <w:t xml:space="preserve">2.1.8 </w:t>
            </w:r>
            <w:r w:rsidRPr="004E71E3">
              <w:rPr>
                <w:rFonts w:cs="Calibri"/>
                <w:color w:val="000000"/>
              </w:rPr>
              <w:t>Povećanje konzumiranja voća kroz „Shemu školskog voća“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  <w:color w:val="000000"/>
              </w:rPr>
              <w:t>(EKOLOGIJA)</w:t>
            </w:r>
          </w:p>
        </w:tc>
        <w:tc>
          <w:tcPr>
            <w:tcW w:w="1565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81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0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4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3393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2.2 Tjelesna aktivnost</w:t>
            </w: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2.2.1 Usvajanje i implementacija  Nacionalnih smjernica o tjelesnoj aktivnosti za zdravlje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porast tjelesne neaktivnosti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smjernica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MZOS, MRMS, MPPI, MZOP, MSPM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Kineziološki fakultet Sveučilišta u Zagrebu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Lokalne uprave, specijalizirane agencije, nevladine organizacije,organizacije civilnog društva, privatni sektor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03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2.2.2 Povećati broj škola s povećanim programom tjelesne aktivnosti (poligoni, dnevni 10-minutni program vježbanja, kurikulum  o Olimpijskim igrama)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porast tjelesne neaktivnosti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kod djece i mladih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Nacionalno istraživanje: broj škola koje su dobile didaktičku opremu; broj škola  koje koriste didaktičku opremu; broj razreda i djece uključene u 10-minutno vježbanje;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Broj edukativnih seminara; broj učitelja koji su pohađali </w:t>
            </w:r>
            <w:r w:rsidRPr="004E71E3">
              <w:rPr>
                <w:rFonts w:cs="Calibri"/>
              </w:rPr>
              <w:lastRenderedPageBreak/>
              <w:t>edukacijske seminare,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HBSC istraživanje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MZOS, AZOO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Kineziološki fakultet Sveučilišta u Zagrebu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15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2.2.3 Aktivna uključenost u raspravu o povećanju broja sati tjelesnog odgoja u školama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porast tjelesne neaktivnosti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kod školske djece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sati tjelesnog odgoja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MZOS, AZOO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Kineziološki fakultet Sveučilišta u Zagrebu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15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2.2.4 Razviti i proširiti  mrežu „pješačkih staza“ za tjelesnu aktivnost za sve dobne skupine 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Promovirati tjelesnu aktivnost za sve dobne skupine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Općinska izvješća  o broju pješačkih staza, sudionicima, učestalosti aktivnosti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MT, HTZ,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Kineziološki fakultet Sveučilišta u Zagrebu, HUP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Lokalne uprave, specijalizirane agencije, nevladine organizacije, organizacije civilnog društva, privatni sektor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15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2.2.5 Povećati broj funkcionalnih prostora za rekreaciju i osigurati sigurnost (volonteri u parku)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porast tjelesne neaktivnosti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Nacionalno istraživanje  o broju parkova, volontera, učestalosti aktivnosti, sudionicima, obrazovnim seminarima za </w:t>
            </w:r>
            <w:r w:rsidRPr="004E71E3">
              <w:rPr>
                <w:rFonts w:cs="Calibri"/>
              </w:rPr>
              <w:lastRenderedPageBreak/>
              <w:t>volontere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MZOP, MZ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MSPM, MUP, HTZ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Lokalne uprave, specijalizirane agencije, nevladine organizacije, organizacije </w:t>
            </w:r>
            <w:r w:rsidRPr="004E71E3">
              <w:rPr>
                <w:rFonts w:cs="Calibri"/>
              </w:rPr>
              <w:lastRenderedPageBreak/>
              <w:t>civilnog društva, privatni sektor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715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2.2.6 Podržati druge sektore i zajednice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Promocija tjelesne 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Podaci Eurobarometra o broju aktivnih i neaktivnih korisnika transporta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Nacionalno istraživanje o broju gradskih biciklističkih staza, biciklista, pješaka, školske djece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MPPI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Kineziološki fakultet Sveučilišta u Zagrebu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Lokalne uprave, specijalizirane agencije, nevladine organizacije, organizacije civilnog društva, privatni sektor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36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6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2.2.7 Promovirati i ojačati dostupnost infrastrukture za tjelesnu aktivnost u  profesionalnim okruženjima</w:t>
            </w:r>
          </w:p>
        </w:tc>
        <w:tc>
          <w:tcPr>
            <w:tcW w:w="1555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Promovirati tjelesnu aktivnost u profesionalnim okruženjima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1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praksi koje su uvele infrastrukturu za tjelesnu aktivnost u  profesionalnim okruženjima , sudionici, učestalost aktivnosti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Smanjenje (%) broja dana </w:t>
            </w:r>
            <w:r w:rsidRPr="004E71E3">
              <w:rPr>
                <w:rFonts w:cs="Calibri"/>
              </w:rPr>
              <w:lastRenderedPageBreak/>
              <w:t>bolovanja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Eurobarometar -broj aktivnih i neaktivnih korisnika  transporta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MH, MLPS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HZJZ, HUP, HOK, HGK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Lokalne uprave, specijalizirane agencije, nevladine organizacije , organizacije civilnog društva, privatni sektor 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80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2.3 Duhan</w:t>
            </w: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2.3.1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Smanjiti dostupnost  duhanskih proizvoda povećanjem posebnog poreza na duhanske proizvode 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provedbu regulative koja povećava posebni porez na duhanske proizvode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Relativno smanjenje od  30% u prevalenciji sadašnje upotrebe duhanskih proizvoda kod osoba starijih od 15 godina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Povećanje  posebnog poreza na duhanske proizvode od 4%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 sadašnje upotrebe duhanskih proizvoda među adolescentima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Prevalencija sadašnje upotrebe duhanskih proizvoda kod osoba starijih od 15 godina 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jc w:val="right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MP, MPolj., MZ, 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8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2.3.2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Ograničavanje ili zabrana pušenja u </w:t>
            </w:r>
            <w:r w:rsidRPr="004E71E3">
              <w:rPr>
                <w:rFonts w:cs="Calibri"/>
              </w:rPr>
              <w:lastRenderedPageBreak/>
              <w:t>svim zatvorenim radnim prostorima, 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Osigurati provedbu regulative koja </w:t>
            </w:r>
            <w:r w:rsidRPr="004E71E3">
              <w:rPr>
                <w:rFonts w:cs="Calibri"/>
              </w:rPr>
              <w:lastRenderedPageBreak/>
              <w:t>u potpunosti  zabranjuje pušenje u svim zatvorenim radnim prostorima, 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usklađenost  s politikama „bez dima“ u svim zatvorenim radnim prostorima, 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Smanjenje izlaganja sekundarnom duhanskom dimu u svim zatvorenim radnim prostorima, </w:t>
            </w:r>
            <w:r w:rsidRPr="004E71E3">
              <w:rPr>
                <w:rFonts w:cs="Calibri"/>
              </w:rPr>
              <w:lastRenderedPageBreak/>
              <w:t>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30% relativno smanjenje prevalencije upotrebe duhanskih proizvoda kod osoba starijih od 15 godina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Postojanje regulative koja osigurava </w:t>
            </w:r>
            <w:r w:rsidRPr="004E71E3">
              <w:rPr>
                <w:rFonts w:cs="Calibri"/>
              </w:rPr>
              <w:lastRenderedPageBreak/>
              <w:t xml:space="preserve">potpunu zabranu pušenja u svim zatvorenim radnim prostorima, javnim mjestima i javnom prijevozu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Postojanje regulative  koja osigurava usklađenost  s politikama „bez dima“ u svim zatvorenim radnim prostorima, 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Broj kazni za povredu politike „bez dima“ u svim zatvorenim radnim prostorima, </w:t>
            </w:r>
            <w:r w:rsidRPr="004E71E3">
              <w:rPr>
                <w:rFonts w:cs="Calibri"/>
              </w:rPr>
              <w:lastRenderedPageBreak/>
              <w:t>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Pratiti izlaganje sekundarnom duhanskom dimu u svim zatvorenim radnim prostorima, javnim mjestima i javnom prijevozu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</w:t>
            </w:r>
            <w:r>
              <w:rPr>
                <w:rFonts w:cs="Calibri"/>
              </w:rPr>
              <w:t xml:space="preserve"> </w:t>
            </w:r>
            <w:r w:rsidRPr="004E71E3">
              <w:rPr>
                <w:rFonts w:cs="Calibri"/>
              </w:rPr>
              <w:t>sadašnje upotrebe duhanskih proizvoda među adolescentima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</w:t>
            </w:r>
            <w:r>
              <w:rPr>
                <w:rFonts w:cs="Calibri"/>
              </w:rPr>
              <w:t xml:space="preserve"> </w:t>
            </w:r>
            <w:r w:rsidRPr="004E71E3">
              <w:rPr>
                <w:rFonts w:cs="Calibri"/>
              </w:rPr>
              <w:t>sadašnje upotrebe duhanskih proizvoda kod osoba starijih od  15 godina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MRMS, MG, MZOS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Državni inspektorat, MZOS, </w:t>
            </w:r>
            <w:r w:rsidRPr="004E71E3">
              <w:rPr>
                <w:rFonts w:cs="Calibri"/>
              </w:rPr>
              <w:lastRenderedPageBreak/>
              <w:t>HZZZSR,HZJZ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8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2.3.3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Zabrana svih oblika oglašavanja duhanskih proizvoda, promocije i sponzorstava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provedbu regulative  koja u potpunosti zabranjuje sve oblike oglašavanja duhanskih proizvoda, promocije i sponzorstava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Postojanje regulative koja osigurava usklađenost s regulativom koja u potpunosti zabranjuje sve oblike oglašavanja duhanskih proizvoda, promocije i sponzorstava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Pratiti usklađenost s regulativom koja u potpunosti zabranjuje sve oblike oglašavanja duhanskih proizvoda, promocije i sponzorstava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Broj kazni za povredu legislative o oglašavanju duhanskih </w:t>
            </w:r>
            <w:r w:rsidRPr="004E71E3">
              <w:rPr>
                <w:rFonts w:cs="Calibri"/>
              </w:rPr>
              <w:lastRenderedPageBreak/>
              <w:t xml:space="preserve">proizvoda, promociji i sponzorstvu 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Mediji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Državni inspektorat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259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2.3.4.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Upozoriti ljude na opasnosti od duhanskih proizvoda putem djelotvornih zdravstvenih upozorenja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 primjenu kombiniranih slikovnih i tekstualnih, zdravstvenih upozorenja na pakiranjima duhanskih proizvoda  u skladu s Direktivom 2014/40/EU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Kombinirana (slikovna i tekstualna) zdravstvena upozorenja koja pokrivaju 65% prednje i stražnje strane pakiranja cigareta i pakiranja duhana za motanje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Informacije o skužbi za prestanak pušenja na svakom pakiranju duhanskih proizvoda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MG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Državni inspektorat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 (carina)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692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2.3.5.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Uklanjanje svih oblika protuzakonite trgovine duhanskim proizvodima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Ojačati regulativu koja osigurava uklanjanje svih oblika protuzakonite trgovine duhanskim </w:t>
            </w:r>
            <w:r w:rsidRPr="004E71E3">
              <w:rPr>
                <w:rFonts w:cs="Calibri"/>
              </w:rPr>
              <w:lastRenderedPageBreak/>
              <w:t>proizvodima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potrebnu koordinaciju s nadležnim međuvladini organizacijama i drugim tijelima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Ratifikacija SZO FCTC protokola za uklanjanje protuzakonite trgovine duhanskim proizvodima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Primjena SZO FCTC protokola za uklanjanje protuzakonite trgovine duhanskim proizvodima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 (carina), MUP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MP, MPolj.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691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2.3.6.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Potražnja za mjerama vezanih za smanjenje ovisnosti o duhanu i prestanak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potrebne programe za promociju prestanka korištenja duhanskih proizvoda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Implementacija sveobuhvatnog liječenja ovisnosti o duhanskim proizvodima i usluga savjetovanja  za prestanak korištenja duhanskih proizvoda na nacionalnoj </w:t>
            </w:r>
            <w:r w:rsidRPr="004E71E3">
              <w:rPr>
                <w:rFonts w:cs="Calibri"/>
              </w:rPr>
              <w:lastRenderedPageBreak/>
              <w:t>razini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refundiranje troškova za liječenje ovisnosti o duhanskim proizvodima i uslugama savjetovanja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Postojanje besplatne telefonske linije za pomoć pri prestanku korištenja duhanskih proizvoda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Postojanje usluge podrške za prestanak pušenja  u jedinicama primarne, sekundarne i tercijarne zdravstvene zaštite (barem jedna u svakoj županiji)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Postojanje  </w:t>
            </w:r>
            <w:r w:rsidRPr="004E71E3">
              <w:rPr>
                <w:rFonts w:cs="Calibri"/>
              </w:rPr>
              <w:lastRenderedPageBreak/>
              <w:t>nacionalnog pokrivanja zdravstvenog osiguranja za troškove farmaceutskih proizvoda koji se legalno  dostupni za liječenje ovisnosti o duhanskim proizvodima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županijski zavodi za javno zdravstvo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Druge zdravstvene institucije primarne, sekundarne i tercijarne zdravstvene zaštite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259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2.3.7.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Zaštita javnozdravstvenih politika vezanih za kontrolu duhanskih proizvoda od komercijalnih  i drugih stečenih interesa u duhanskoj industriji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Uspostaviti mjere za ograničavanje među-djelovanja s duhanskom industrijom i osigurati transparen-tnost tih među-djelovanja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Izbjegavati sukobe interesa za vladine dužnosnike i zaposlenike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Tražiti  da </w:t>
            </w:r>
            <w:r w:rsidRPr="004E71E3">
              <w:rPr>
                <w:rFonts w:cs="Calibri"/>
              </w:rPr>
              <w:lastRenderedPageBreak/>
              <w:t>informacije dobivene od duhanske industrije budu transparentne i točne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Usvajanje  i implementacija  odgovarajuće legislative vezane za zaštitu javnozdravstvenih politika vezanih za kontrolu duhanskih proizvoda od komercijalnih  i drugih stečenih interesa u duhanskoj industriji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MZ, MG, MPolj. MF 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županijski zavodi za javno zdravstvo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Druge zdravstvene institucije primarne, sekundarne i tercijarne zdravstvene zaštite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124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2.4 Alkohol</w:t>
            </w: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2.4.1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Reguliranje komercijalne i javne dostupnosti alkohola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provedbu regulative  koja ograničava dostupnost alkohola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Smanjiti prevalenciju pijenja, osobito među adolescentima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Postojanje regulative o ograničavanju upotrebe alkohola na javnim mjestima na nacionalnoj razini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Bolja provedba 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(povećanje  broja inspekcija) mjera za ograničenje dostupnosti alkohola maloljetnicima i alkoholiziranim osobama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Ojačati izobrazbu za </w:t>
            </w:r>
            <w:r w:rsidRPr="004E71E3">
              <w:rPr>
                <w:rFonts w:cs="Calibri"/>
              </w:rPr>
              <w:lastRenderedPageBreak/>
              <w:t>relevantne dužnosnike kako bi se otkrila ilegalna prodaja maloljetnicima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Uvesti ograničenja vezana za određene dane i sate prodaje alkohola (uključujući i zabranu za „happy hours“)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MF, MP, MUP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Državni inspektorat, MG, MZ, HZJZ, županijski zavodi za javno zdravstvo, lokalne vlasti, mediji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2.4.2.</w:t>
            </w:r>
            <w:r w:rsidRPr="004E71E3">
              <w:rPr>
                <w:rFonts w:cs="Calibri"/>
              </w:rPr>
              <w:tab/>
              <w:t>Ograničenje ili zabrana oglašavanja i promocije alkohola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Ograničiti ili zabraniti oglašavanje i promociju piva i vina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Ograničenje broja, vremena i trajanja oglašavanja piva i vina putem različitih medija (TV, radio, tiskani mediji, kino, plakati, prodajna mjesta, Internet…)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Postojanje sustava za </w:t>
            </w:r>
            <w:r w:rsidRPr="004E71E3">
              <w:rPr>
                <w:rFonts w:cs="Calibri"/>
              </w:rPr>
              <w:lastRenderedPageBreak/>
              <w:t>nadzor oglašavanja svih proizvoda koji sadrže alkohol (uključujući pivo)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Broj kazni za povredu legislative o oglašavanju i plasmanu proizvoda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Broj kazni za povredu legislative o sponzoriranju i promocije prodaje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MF, MP, MK, MPolj.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MZ,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Državni inspektorat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MG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Poslodavci Mediji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2.4.3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Korištenje cjenovnih politika  kao što je povećanje posebnih poreza na alkoholna pića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Povećati poreze na alkohol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Zabraniti prodaju ispod cijene  i/ili popust  na količinu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Barem 10%  relativnog </w:t>
            </w:r>
            <w:r w:rsidRPr="004E71E3">
              <w:rPr>
                <w:rFonts w:cs="Calibri"/>
              </w:rPr>
              <w:lastRenderedPageBreak/>
              <w:t>smanjenja štetne upotrebe alkohola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Nastaviti smanjivati potrošnju alkohola po glavi stanovnika (15+) (u litrama čistog alkohola)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prevalenciju teškog epizodnog opijanja  među ukupnom populacijom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Smanjiti prevalenciju teškog epizodnog opijanja  (binge drinking) među adolescentima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Ekonomska dostupnost kupnje alkohola (mjerljivo usporedbom relativnog indeksa cijene alkoholai indeksa stvarnog raspoloživogpri</w:t>
            </w:r>
            <w:r w:rsidRPr="004E71E3">
              <w:rPr>
                <w:rFonts w:cs="Calibri"/>
              </w:rPr>
              <w:lastRenderedPageBreak/>
              <w:t>hoda domaćinstva)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Potrošnja alkohola (zabilježena i nezabilježena) po glavi stanovnika   (15+) ( u litrama čistog alkohola) manja od 12,2 l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 teškog epizodnog opijanja  među ukupnom populacijom ne više  od 20,5 za muškarce i 2,0 za žene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 (WHO Global Status report 2014)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Niža prevalencija teškog epizodnog opijanja 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(binge </w:t>
            </w:r>
            <w:r w:rsidRPr="004E71E3">
              <w:rPr>
                <w:rFonts w:cs="Calibri"/>
              </w:rPr>
              <w:lastRenderedPageBreak/>
              <w:t>drinking) u skladu s ESPAD istraživanjem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MF, MG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MPolj., MZ, Državni inspektorat,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Poslodavci, DZS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2.4.4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Podrška zajednicama u usvajanju efikasnih pristupa (kao promocijazdravlja i primarna prevencija) i intervencije za sprečavanje i smanjivanje štetne upotrebe alkohola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kontinuitet i povećati postotak škola, općina i radnih mjesta koja primjenjuju politike i programe o smanjenju štete uzrokovane alkoholom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Povećati akcije koje podržavaju  okruženja koja promoviraju zdravlje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Postotak škola koje primjenjuju politike i programe o smanjenju štete uzrokovane alkoholom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Postotak općina koje primjenjuju politike i programe o smanjenju štete uzrokovane alkoholom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Postotak radnih mjesta koja primjenjuju politike i programe o smanjenju štete uzrokovane alkoholom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MZOS, MZ, Poslodavci, lokalne vlasti, MSPM, HZJZ, AZOO, HZZZSR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MUP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Županijski zavodi za javni zdravstvo, obrazovne institucije, HUP, MT (državni inspektorat), Nevladine organizacije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Mediji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2.4.5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Jačanje svijesti o teretu koji se može pripisati alkoholu; vodstvo i politička obveza  štetene upotrebe alkohola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višesektorsku suradnju za smanjivanje štetne upotrebe alkohola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Primjena javnozdravstvenih kampanja o alkoholu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Usvajanje  pisanog akcijskog plana o alkoholu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Jačanje rada višesektorske radne grupe o alkoholu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Uska suradnja  grupe za alkohol s međuministarskim vijećem za KNB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Promovirati međudioničke programe uključujući ekonomske operatore, policiju i lokalne vlasti kako bi se osigurala bolja provedba  dobnih ograničenja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Broj javnozdravstvenih kampanja o alkoholu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MF, MG, MP, MUP, MT (Državni inspektorat), MPolj., MZOS, MSPM, Zapošljavanje, 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Lokalne vlasti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Županijski zavodi za javni zdravstvo Trgovina i industrija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Nevladine organizacije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Škola narodnog zdravlja 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Andrija Štampar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>Mediji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2.4.6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Osiguranje  prevencije i intervencija za liječenjeza one koji su ugroženi ili pogođeni  poremećajem upotrebe alkohola i  sličnim stanjima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Povećati kapacitet zdravstvene zaštite i drugih usluga kako bi se  osigurala  prevencija i intervencije za liječenje za rizično korištenje alkohola i alkoholom uzrokovane poremećaje uključujući skrining i kratke intervencije</w:t>
            </w: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Broj izobrazbi za rano otkrivanje  i programe kratke intervencije 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 davatelja  usluga primarne zdravstvene zaštite koji su prošli izobrazbu o kratkim intervencijama vezanim za alkohol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Broj ljudi s rizičnim i štetnim navikama konzumiranja alkohola  koji primaju terapiju i savjete od primarne </w:t>
            </w:r>
            <w:r w:rsidRPr="004E71E3">
              <w:rPr>
                <w:rFonts w:cs="Calibri"/>
              </w:rPr>
              <w:lastRenderedPageBreak/>
              <w:t>zdravstvene zaštite</w:t>
            </w: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MZOS, MZ, MSPM, HZJZ, AZOO, MUP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HZZZSR, Županijski zavodi za javno zdravstvo, liječnici opće prakse, medicinska profesionalna udruženja, obrazovne institucije, bolnice, nevladine organizacije</w:t>
            </w:r>
          </w:p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2.5. Prijenos  istraživanja u politiku i praksu</w:t>
            </w:r>
          </w:p>
        </w:tc>
        <w:tc>
          <w:tcPr>
            <w:tcW w:w="195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U skladu s  JA o prehrani i tjelesnoj aktivnosti (WP7) -  stvaranje mreže za buduće praćenje i prijenos istraživanja u politiku i praksu vezano za odrednice prehrambenih navike, tjelesnu aktivnost i sjedilačko ponašanje </w:t>
            </w:r>
          </w:p>
        </w:tc>
        <w:tc>
          <w:tcPr>
            <w:tcW w:w="154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07" w:type="dxa"/>
            <w:gridSpan w:val="6"/>
          </w:tcPr>
          <w:p w:rsidR="00D420E0" w:rsidRPr="004E71E3" w:rsidRDefault="00D420E0" w:rsidP="004E71E3">
            <w:pPr>
              <w:pStyle w:val="Odlomakpopis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1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842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MZOS</w:t>
            </w:r>
          </w:p>
        </w:tc>
        <w:tc>
          <w:tcPr>
            <w:tcW w:w="1803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4695" w:type="dxa"/>
            <w:gridSpan w:val="35"/>
            <w:shd w:val="clear" w:color="auto" w:fill="00B0F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4E71E3">
              <w:rPr>
                <w:rFonts w:cs="Calibri"/>
                <w:b/>
                <w:sz w:val="28"/>
                <w:szCs w:val="28"/>
              </w:rPr>
              <w:t>Područje: Zdravstvena zaštita</w:t>
            </w: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4695" w:type="dxa"/>
            <w:gridSpan w:val="35"/>
            <w:shd w:val="clear" w:color="auto" w:fill="FFFF0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 3: Ojačati i usmjeriti zdravstvene sustave kako bi se obraćali prevenciji i kontroli nezaraznih bolesti i njihovim biološkim faktorima rizika (npr. povišeni tlak, debljina i dislipidemija) kroz zdravstvenu zaštitu usmjerenu na ljude</w:t>
            </w:r>
          </w:p>
        </w:tc>
      </w:tr>
      <w:tr w:rsidR="00D420E0" w:rsidRPr="004E71E3" w:rsidTr="004E71E3">
        <w:trPr>
          <w:gridAfter w:val="2"/>
          <w:wAfter w:w="61" w:type="dxa"/>
          <w:trHeight w:val="416"/>
        </w:trPr>
        <w:tc>
          <w:tcPr>
            <w:tcW w:w="1255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Ciljevi</w:t>
            </w:r>
          </w:p>
        </w:tc>
        <w:tc>
          <w:tcPr>
            <w:tcW w:w="2023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Aktivnosti</w:t>
            </w:r>
          </w:p>
        </w:tc>
        <w:tc>
          <w:tcPr>
            <w:tcW w:w="1498" w:type="dxa"/>
            <w:gridSpan w:val="3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Namjene</w:t>
            </w:r>
          </w:p>
        </w:tc>
        <w:tc>
          <w:tcPr>
            <w:tcW w:w="1561" w:type="dxa"/>
            <w:gridSpan w:val="3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 xml:space="preserve">Indikatori mjerenja ishoda </w:t>
            </w:r>
          </w:p>
        </w:tc>
        <w:tc>
          <w:tcPr>
            <w:tcW w:w="3576" w:type="dxa"/>
            <w:gridSpan w:val="19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Vremenski raspored</w:t>
            </w:r>
          </w:p>
        </w:tc>
        <w:tc>
          <w:tcPr>
            <w:tcW w:w="1407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Odgovorna tijela</w:t>
            </w:r>
          </w:p>
        </w:tc>
        <w:tc>
          <w:tcPr>
            <w:tcW w:w="2099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Partnerske organizacije</w:t>
            </w:r>
          </w:p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  <w:r w:rsidRPr="004E71E3">
              <w:rPr>
                <w:rFonts w:cs="Calibri"/>
                <w:b/>
              </w:rPr>
              <w:t>Trošak implementacije</w:t>
            </w:r>
          </w:p>
        </w:tc>
      </w:tr>
      <w:tr w:rsidR="00D420E0" w:rsidRPr="004E71E3" w:rsidTr="004E71E3">
        <w:trPr>
          <w:gridAfter w:val="2"/>
          <w:wAfter w:w="61" w:type="dxa"/>
          <w:cantSplit/>
          <w:trHeight w:val="722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2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2015</w:t>
            </w:r>
          </w:p>
        </w:tc>
        <w:tc>
          <w:tcPr>
            <w:tcW w:w="579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2016</w:t>
            </w:r>
          </w:p>
        </w:tc>
        <w:tc>
          <w:tcPr>
            <w:tcW w:w="573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2017</w:t>
            </w:r>
          </w:p>
        </w:tc>
        <w:tc>
          <w:tcPr>
            <w:tcW w:w="637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2018</w:t>
            </w:r>
          </w:p>
        </w:tc>
        <w:tc>
          <w:tcPr>
            <w:tcW w:w="627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2019</w:t>
            </w:r>
          </w:p>
        </w:tc>
        <w:tc>
          <w:tcPr>
            <w:tcW w:w="588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2020</w:t>
            </w:r>
          </w:p>
        </w:tc>
        <w:tc>
          <w:tcPr>
            <w:tcW w:w="1407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060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3.1 Kardiometabolički rizik (CMR)– procjena i upravljanje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3.1.1 Jačanjekapaciteta primarne zdravstvene zaštite za procjenu i upravljanje kardiometaboličkim rizikom kroz </w:t>
            </w:r>
            <w:r w:rsidRPr="004E71E3">
              <w:rPr>
                <w:rFonts w:cs="Calibri"/>
              </w:rPr>
              <w:lastRenderedPageBreak/>
              <w:t>obrazovanje pružatelja zdravstvenih usluga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Barem 50% pogodnih osoba prima terapiju lijekovima i savjetovanje kako bi se spriječili </w:t>
            </w:r>
            <w:r w:rsidRPr="004E71E3">
              <w:rPr>
                <w:rFonts w:cs="Calibri"/>
              </w:rPr>
              <w:lastRenderedPageBreak/>
              <w:t>srčani i moždani udari – preporuka SZO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Broj praksi koje su uvele  CMR procjenu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Omjer pogodnih osoba u dobi od 40 i više </w:t>
            </w:r>
            <w:r w:rsidRPr="004E71E3">
              <w:rPr>
                <w:rFonts w:cs="Calibri"/>
              </w:rPr>
              <w:lastRenderedPageBreak/>
              <w:t>godina s 1-godišnjim kardiovaskularnim rizikom većim od 30% uključujući i one s postojećim kardiovaskularnim bolestima (primaju terapiju lijekovima i savjetovanje kako bi se spriječili srčani i moždani udari)  – preporuka SZO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HZJZ,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Hrvatsko kardiološko društvo, Hrvatsko društvo za dijabetes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06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3.1.2</w:t>
            </w:r>
            <w:r w:rsidRPr="004E71E3">
              <w:rPr>
                <w:rFonts w:cs="Calibri"/>
                <w:color w:val="548DD4"/>
              </w:rPr>
              <w:t xml:space="preserve">. </w:t>
            </w:r>
            <w:r w:rsidRPr="004E71E3">
              <w:rPr>
                <w:rFonts w:cs="Calibri"/>
              </w:rPr>
              <w:t>Uspostaviti osiguranje kvalitete i kontinuirane sustave za poboljšanje kvalitete radi prevencije i upravljanja kardiometaboličkim rizikom s naglaskom na primarnu zdravstvenu zaštitu</w:t>
            </w:r>
          </w:p>
          <w:p w:rsidR="00D420E0" w:rsidRPr="004E71E3" w:rsidRDefault="00D420E0" w:rsidP="004E71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Razvoj sustava za poboljšanje kvalitete radi prevencije i upravljanja kardiometaboličkim rizikom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Poboljšana kvaliteta  skrbi o kardiometaboličkom riziku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ind w:left="284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HZZO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3.2 Hiper-tenzija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3.2.1 Jačanje kapaciteta primarne zdravstvene zaštite  za procjenu i upravljanje  hipertenzijom kroz obrazovanje pružatelja zdravstvenih usluga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Relativno smanjenje od 25% u prevalenciji  povišenog krvnog tlaka  ili zaustavljanje prevalencije povišenog krvnog tlaka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50% ljudi s hipertenzijom  liječi se s nekoliko vrsta lijekova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MH,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Hrvatsko društvo za hipertenziju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3.2.2 Osigurati  naglasak na otkrivanju i liječenju hipertenzije u primarnoj zdravstvenoj zaštiti  kroz panele za hipertenziju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Relativno smanjenje od 25% u prevalenciji  povišenog krvnog tlaka  ili zaustavljanje prevalencije povišenog krvnog tlaka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 hipertenzije 37% kod odrasle populacije 18+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Hrvatsko društvo za hipertenziju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3.3 Šećerna bolest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3.3.1. Jačanje kapaciteta primarne zdravstvene zaštite  za procjenu i upravljanje  šećernom bolešću  kroz obrazovanje pružatelja </w:t>
            </w:r>
            <w:r w:rsidRPr="004E71E3">
              <w:rPr>
                <w:rFonts w:cs="Calibri"/>
              </w:rPr>
              <w:lastRenderedPageBreak/>
              <w:t>zdravstvenih usluga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Zaustaviti rast šećerne bolesti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Prevalencija povišene glukoze u krvi / šećerne bolesti standardi-zirana prema godinama, kod osoba  18+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Opseg pacijenata kojima je mjeren HbA1C u prošloj godini, u primarnoj zdravstvenoj zaštiti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Hrvatsko društvo za dijabetes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3.3.2 Razvoj specifičnog preventivnog panela za šećernu bolest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  <w:color w:val="548DD4"/>
              </w:rPr>
            </w:pPr>
            <w:r w:rsidRPr="004E71E3">
              <w:rPr>
                <w:rFonts w:cs="Calibri"/>
              </w:rPr>
              <w:t>Hrvatsko društvo za dijabetes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646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3.4 Debljina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3.4.1 Razvoj specifičnog preventivnog panela koji uključuje debljinu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Zaustaviti porast debljine u općoj populaciji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Prevalencija debljine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HZZO,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color w:val="548DD4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550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3.5 Integrirano savjetovanje za debljinu, šećernu bolest, hipertenziju i kardiovaskularne bolesti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3.5.1 Individualno savjetovanje pacijenata  o prevenciji debljine, hipertenzije, šećerne bolesti i jasniji prijelaz za korištenje sustava zdravstvene zaštite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Povećati svijest, znanje  i osobno jačanje donošenja odluka 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50% pogodnih osoba pokriveno je savjetovanjem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color w:val="548DD4"/>
              </w:rPr>
            </w:pPr>
            <w:r w:rsidRPr="004E71E3">
              <w:rPr>
                <w:rFonts w:cs="Calibri"/>
              </w:rPr>
              <w:t>HZJZ, HZZO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833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3.6 Rak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3.6.1 Pregledati  Nacionalni program za skrining raka (dojke, vrata maternice i debelog crijeva) kako bi se poboljšao udio skrining programa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Povećati udio skrining programa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Omjer žena u dobi od 30-49  koje su prošle skrining za rak vrata maternice barem jednom ili češće, a za niže ili više dobne skupine u skladu s nacionalnim programima i politikama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MZ, HZJZ, 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Mreža županijskih zavoda za javno zdravstvo, HZZO, mediji, udruženja liječnika primarne zdravstvene zaštite, Društvo za ginekologiju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74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3.6.2 Jačanje kapaciteta primarne zdravstvene zaštite  za procjenu i upravljanje rakom  kroz obrazovanje </w:t>
            </w:r>
            <w:r w:rsidRPr="004E71E3">
              <w:rPr>
                <w:rFonts w:cs="Calibri"/>
              </w:rPr>
              <w:lastRenderedPageBreak/>
              <w:t>pružatelja zdravstvenih usluga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MZ, HZJZ, 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Mreža županijskih zavoda za javno zdravstvo, HZZO, mediji, udruženja liječnika primarne zdravstvene zaštite, Društvo za </w:t>
            </w:r>
            <w:r w:rsidRPr="004E71E3">
              <w:rPr>
                <w:rFonts w:cs="Calibri"/>
              </w:rPr>
              <w:lastRenderedPageBreak/>
              <w:t>ginekologiju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174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3.6.2 Nastaviti s pojačanim naporima za HepB i HPV imunizaciju kako bi se osigurala pokrivenost cijele populacije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Imunizacija protiv HepB i HPV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Postotak pokrivenosti imunizacijom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Mreža županijskih zavoda za javno zdravstvo, HZZO, mediji, 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550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3.7 KOPB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3.7.1 Osigurati  naglasak na kontroli KOPB-a u primarnoj zdravstvenoj zaštiti  kroz panele za KOPB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pacijenata koji primaju zdravstvenu zaštitu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Hrvatska udruga za plućne bolesti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55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3.7.2 Jačanje kapaciteta primarne zdravstvene zaštite  za procjenu i upravljanje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KOPB-om kroz obrazovanje pružatelja zdravstvenih usluga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Barem 50%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pogodnih osoba prima terapiju lijekovima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MH, Hrvatska udruženja liječnika primarne zdravstvene zaštite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Hrvatska udruga za plućne bolesti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216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3.8 Razvoj radne snage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3.8.1 Uključiti promociju zdravlja i prevenciju KNB u obrazovne planove i programe za djelatnike primarne zdravstvene zaštite (liječnike, medicinske sestre, itd.)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80%liječnika u primarnoj zdravstvenoj zaštiti su specijalisti; organizacija radionica, konferencija, obrazovnih programa na svim razinama 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radionica, konferencija i obrazovnih programa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profesionalna društva Hrvatskog liječničkog zbora  i ostala udruženja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HZZO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2"/>
          <w:wAfter w:w="61" w:type="dxa"/>
          <w:trHeight w:val="3000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3.8.2 Ojačati ulogu primarne zdravstvene zaštite u prevenciji i kontroli KNB kroz razvoj i integraciju specifičnih alata u primarnoj zdravstvenoj zaštiti (informacijski sustavi i smjernice)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Razvoj smjernica KNB za primarnu zdravstvenu zaštitu</w:t>
            </w:r>
          </w:p>
        </w:tc>
        <w:tc>
          <w:tcPr>
            <w:tcW w:w="1561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Smjernice za primarnu zdravstvenu zaštitu za: šećernu bolest, hipertenziju bolesti kardiometaboličkog sindroma, debljinu, KOPB, rak</w:t>
            </w:r>
          </w:p>
        </w:tc>
        <w:tc>
          <w:tcPr>
            <w:tcW w:w="572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9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73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88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40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profesionalna društva Hrvatskog liječničkog zbora  i ostala udruženja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HZZO</w:t>
            </w:r>
          </w:p>
        </w:tc>
        <w:tc>
          <w:tcPr>
            <w:tcW w:w="1276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c>
          <w:tcPr>
            <w:tcW w:w="14756" w:type="dxa"/>
            <w:gridSpan w:val="37"/>
            <w:shd w:val="clear" w:color="auto" w:fill="00B0F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4E71E3">
              <w:rPr>
                <w:rFonts w:cs="Calibri"/>
                <w:b/>
                <w:sz w:val="28"/>
                <w:szCs w:val="28"/>
              </w:rPr>
              <w:t>Područje: Nadzor i upravljanje</w:t>
            </w:r>
          </w:p>
        </w:tc>
      </w:tr>
      <w:tr w:rsidR="00D420E0" w:rsidRPr="004E71E3" w:rsidTr="004E71E3">
        <w:tc>
          <w:tcPr>
            <w:tcW w:w="14756" w:type="dxa"/>
            <w:gridSpan w:val="37"/>
            <w:shd w:val="clear" w:color="auto" w:fill="FFFF00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 4: Pratiti trendove i odrednice nezaraznih bolesti te ocijeniti napredak u njihovoj prevenciji i kontroli</w:t>
            </w:r>
          </w:p>
        </w:tc>
      </w:tr>
      <w:tr w:rsidR="00D420E0" w:rsidRPr="004E71E3" w:rsidTr="004E71E3">
        <w:trPr>
          <w:gridAfter w:val="1"/>
          <w:wAfter w:w="12" w:type="dxa"/>
        </w:trPr>
        <w:tc>
          <w:tcPr>
            <w:tcW w:w="1255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Ciljevi</w:t>
            </w:r>
          </w:p>
        </w:tc>
        <w:tc>
          <w:tcPr>
            <w:tcW w:w="2023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Aktivnosti</w:t>
            </w:r>
          </w:p>
        </w:tc>
        <w:tc>
          <w:tcPr>
            <w:tcW w:w="1498" w:type="dxa"/>
            <w:gridSpan w:val="3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Namjene</w:t>
            </w:r>
          </w:p>
        </w:tc>
        <w:tc>
          <w:tcPr>
            <w:tcW w:w="1579" w:type="dxa"/>
            <w:gridSpan w:val="4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Indikatori mjerenja ishoda</w:t>
            </w:r>
          </w:p>
        </w:tc>
        <w:tc>
          <w:tcPr>
            <w:tcW w:w="3597" w:type="dxa"/>
            <w:gridSpan w:val="19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  <w:r w:rsidRPr="004E71E3">
              <w:rPr>
                <w:rFonts w:cs="Calibri"/>
                <w:b/>
              </w:rPr>
              <w:t>Vremenski raspored</w:t>
            </w:r>
          </w:p>
        </w:tc>
        <w:tc>
          <w:tcPr>
            <w:tcW w:w="1368" w:type="dxa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Odgovorna tijela</w:t>
            </w:r>
          </w:p>
        </w:tc>
        <w:tc>
          <w:tcPr>
            <w:tcW w:w="2099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Partnerske organizacije</w:t>
            </w:r>
          </w:p>
        </w:tc>
        <w:tc>
          <w:tcPr>
            <w:tcW w:w="1325" w:type="dxa"/>
            <w:gridSpan w:val="2"/>
            <w:vMerge w:val="restart"/>
            <w:shd w:val="clear" w:color="auto" w:fill="B8CCE4"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 xml:space="preserve">Financije (kn) </w:t>
            </w:r>
          </w:p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E71E3">
              <w:rPr>
                <w:rFonts w:cs="Calibri"/>
                <w:b/>
              </w:rPr>
              <w:t>2015.- 2017.</w:t>
            </w:r>
          </w:p>
        </w:tc>
      </w:tr>
      <w:tr w:rsidR="00D420E0" w:rsidRPr="004E71E3" w:rsidTr="004E71E3">
        <w:trPr>
          <w:gridAfter w:val="1"/>
          <w:wAfter w:w="12" w:type="dxa"/>
          <w:cantSplit/>
          <w:trHeight w:val="714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9" w:type="dxa"/>
            <w:gridSpan w:val="4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" w:type="dxa"/>
            <w:gridSpan w:val="5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2015</w:t>
            </w:r>
          </w:p>
        </w:tc>
        <w:tc>
          <w:tcPr>
            <w:tcW w:w="567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2016</w:t>
            </w:r>
          </w:p>
        </w:tc>
        <w:tc>
          <w:tcPr>
            <w:tcW w:w="552" w:type="dxa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2017</w:t>
            </w:r>
          </w:p>
        </w:tc>
        <w:tc>
          <w:tcPr>
            <w:tcW w:w="637" w:type="dxa"/>
            <w:gridSpan w:val="4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2018</w:t>
            </w:r>
          </w:p>
        </w:tc>
        <w:tc>
          <w:tcPr>
            <w:tcW w:w="627" w:type="dxa"/>
            <w:gridSpan w:val="2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2019</w:t>
            </w:r>
          </w:p>
        </w:tc>
        <w:tc>
          <w:tcPr>
            <w:tcW w:w="627" w:type="dxa"/>
            <w:gridSpan w:val="3"/>
            <w:shd w:val="clear" w:color="auto" w:fill="B8CCE4"/>
            <w:textDirection w:val="tbRl"/>
            <w:vAlign w:val="center"/>
          </w:tcPr>
          <w:p w:rsidR="00D420E0" w:rsidRPr="004E71E3" w:rsidRDefault="00D420E0" w:rsidP="004E71E3">
            <w:pPr>
              <w:spacing w:after="0" w:line="240" w:lineRule="auto"/>
              <w:ind w:left="113" w:right="113"/>
              <w:rPr>
                <w:rFonts w:cs="Calibri"/>
              </w:rPr>
            </w:pPr>
            <w:r w:rsidRPr="004E71E3">
              <w:rPr>
                <w:rFonts w:cs="Calibri"/>
              </w:rPr>
              <w:t>2020</w:t>
            </w:r>
          </w:p>
        </w:tc>
        <w:tc>
          <w:tcPr>
            <w:tcW w:w="1368" w:type="dxa"/>
            <w:vMerge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099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5" w:type="dxa"/>
            <w:gridSpan w:val="2"/>
            <w:vMerge/>
          </w:tcPr>
          <w:p w:rsidR="00D420E0" w:rsidRPr="004E71E3" w:rsidRDefault="00D420E0" w:rsidP="004E71E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4.1 EHIS/EHES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Implementacija EHIS/EHES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Nadzor KNB i društvenih odrednica zdravlja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Indikatori proizvedeni EHIS/EHES metodologijom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ind w:left="353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DZS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4.2 Dezagregiranje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Dezagregiranje podataka  prema spolu, dobi, društvenim odrednicama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Mapiranje zdravstvenih nejednakosti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Indikatori zdravstvenih nejednakosti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DZS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4.3 COSI (Inicijativa za praćenje debljine </w:t>
            </w:r>
            <w:r w:rsidRPr="004E71E3">
              <w:rPr>
                <w:rFonts w:cs="Calibri"/>
              </w:rPr>
              <w:lastRenderedPageBreak/>
              <w:t>kod djece)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Praćenje visine i težine školske populacije i faktora koji utječu na </w:t>
            </w:r>
            <w:r w:rsidRPr="004E71E3">
              <w:rPr>
                <w:rFonts w:cs="Calibri"/>
              </w:rPr>
              <w:lastRenderedPageBreak/>
              <w:t>prehrambene navike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Rizici ponašanja kod školske populacije </w:t>
            </w:r>
            <w:r w:rsidRPr="004E71E3">
              <w:rPr>
                <w:rFonts w:cs="Calibri"/>
              </w:rPr>
              <w:lastRenderedPageBreak/>
              <w:t>povezani s nutritivnim statusom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Nutritivni status školske populacije , debljina kod </w:t>
            </w:r>
            <w:r w:rsidRPr="004E71E3">
              <w:rPr>
                <w:rFonts w:cs="Calibri"/>
              </w:rPr>
              <w:lastRenderedPageBreak/>
              <w:t xml:space="preserve">školske populacije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4.4 Paneli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4.4.1 Analiza panela u svrhe praćenja i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Preusmjeravanje aktivnosti za prevenciju  najvećih faktora rizika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Pokrivenost i kvaliteta podataka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HZZO, 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2016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4.5 Sustav praćenja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4.5.1 Uspostaviti sveobuhvatni okvir indikatora za prevenciju i kontrolu KNB u skladu s Globalnim okvirom za praćenje (Global Monitoring Framework – GMF)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Praćenje KNB kroz među-narodno usporediv niz indikatora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25 GMF indikatora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HZZO, DZS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1188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4.5.2 Upotpuniti sustav praćenja sa indikatorima društvenih odrednica zdravlja (SDH)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Uvođenje dezagregira-nja KNB indikatora pomoću društvenih odrednica zdravlja omogućit će  prepoznava-nje  nejednakosti u zdravlju u skladu s </w:t>
            </w:r>
            <w:r w:rsidRPr="004E71E3">
              <w:rPr>
                <w:rFonts w:cs="Calibri"/>
              </w:rPr>
              <w:lastRenderedPageBreak/>
              <w:t>populacijskim grupama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Broj istraživanja SDH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HZJZ, DZS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Medicinski fakulteti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MZOS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2424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4.5.3 Poboljšati diseminaciju podataka kroz geografske zdravstvene sustave putem alata za vizualizaciju podataka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Potpuna implementa-cija i operaciona-lizacija  CH-BIS sustava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Glavni indikator raspršen po geografskim područjima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416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4.6 Mogućnosti povezivanja podataka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4.6.1 Izvori podataka iz drugih sektora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HZZO, DZS, MJU, MRMS, Institut za ekonomska istraživanja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1342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4.6.2 Preventivni panelis nacionalnim  zdravstvenim bazama podataka i registrima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Pouzdaniji podaci o KNB kroz poboljšanje  kvalitete podataka u KNB registrima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registara povezanih s preventivnim panelom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HZZO, HZJZ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1342"/>
        </w:trPr>
        <w:tc>
          <w:tcPr>
            <w:tcW w:w="1255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4.6.3. Uspostaviti zasebne sustave nadzora za infarkt miokarda, moždani udar i KOPB korištenjem  </w:t>
            </w:r>
            <w:r w:rsidRPr="004E71E3">
              <w:rPr>
                <w:rFonts w:cs="Calibri"/>
              </w:rPr>
              <w:lastRenderedPageBreak/>
              <w:t>postojećih izvora podataka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 (Primarna zdravstvena zaštita - CEZIH, bolnički IS)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 xml:space="preserve">Korištenje informacija o KNB koje postoje u IS Nacionalnog informatičkog </w:t>
            </w:r>
            <w:r w:rsidRPr="004E71E3">
              <w:rPr>
                <w:rFonts w:cs="Calibri"/>
              </w:rPr>
              <w:lastRenderedPageBreak/>
              <w:t>sustava javnog zdravstva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Incidencija infarkta miokarda, KOPB-a, moždanog udara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HZJZ, HZZO 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1200"/>
        </w:trPr>
        <w:tc>
          <w:tcPr>
            <w:tcW w:w="1255" w:type="dxa"/>
            <w:vMerge w:val="restart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lastRenderedPageBreak/>
              <w:t>4.8 Nadzor radi prevencije i kontrole KNB</w:t>
            </w: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4.8.1 Poboljšati korištenje podatka za postavljanje prioriteta i odgovornosti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odabir prioriteta za prevenciju i kontrolu KNB kojima će se izvršiti alokacija resursa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Lista prioriteta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HZJZ, HZZO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  <w:tr w:rsidR="00D420E0" w:rsidRPr="004E71E3" w:rsidTr="004E71E3">
        <w:trPr>
          <w:gridAfter w:val="1"/>
          <w:wAfter w:w="12" w:type="dxa"/>
          <w:trHeight w:val="936"/>
        </w:trPr>
        <w:tc>
          <w:tcPr>
            <w:tcW w:w="1255" w:type="dxa"/>
            <w:vMerge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23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4.8.2 Povećati kapacitet za procjenu učinka na zdravlje</w:t>
            </w:r>
          </w:p>
        </w:tc>
        <w:tc>
          <w:tcPr>
            <w:tcW w:w="1498" w:type="dxa"/>
            <w:gridSpan w:val="3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Osigurati mehanizam  za definiranje zdravlja u svim politikama</w:t>
            </w:r>
          </w:p>
        </w:tc>
        <w:tc>
          <w:tcPr>
            <w:tcW w:w="1579" w:type="dxa"/>
            <w:gridSpan w:val="4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Broj  izvršenih procjena učinka na zdravlje</w:t>
            </w:r>
          </w:p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 xml:space="preserve">(HIA) </w:t>
            </w:r>
          </w:p>
        </w:tc>
        <w:tc>
          <w:tcPr>
            <w:tcW w:w="587" w:type="dxa"/>
            <w:gridSpan w:val="5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552" w:type="dxa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37" w:type="dxa"/>
            <w:gridSpan w:val="4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2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627" w:type="dxa"/>
            <w:gridSpan w:val="3"/>
          </w:tcPr>
          <w:p w:rsidR="00D420E0" w:rsidRPr="004E71E3" w:rsidRDefault="00D420E0" w:rsidP="004E71E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ind w:left="470" w:hanging="357"/>
              <w:rPr>
                <w:rFonts w:cs="Calibri"/>
              </w:rPr>
            </w:pPr>
          </w:p>
        </w:tc>
        <w:tc>
          <w:tcPr>
            <w:tcW w:w="1368" w:type="dxa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  <w:r w:rsidRPr="004E71E3">
              <w:rPr>
                <w:rFonts w:cs="Calibri"/>
              </w:rPr>
              <w:t>MZ, HZJZ</w:t>
            </w:r>
          </w:p>
        </w:tc>
        <w:tc>
          <w:tcPr>
            <w:tcW w:w="2099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25" w:type="dxa"/>
            <w:gridSpan w:val="2"/>
          </w:tcPr>
          <w:p w:rsidR="00D420E0" w:rsidRPr="004E71E3" w:rsidRDefault="00D420E0" w:rsidP="004E71E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420E0" w:rsidRPr="00B77A01" w:rsidRDefault="00D420E0" w:rsidP="00C9698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</w:p>
    <w:p w:rsidR="00D420E0" w:rsidRPr="00B77A01" w:rsidRDefault="00D420E0" w:rsidP="00C674FC">
      <w:pPr>
        <w:rPr>
          <w:b/>
        </w:rPr>
      </w:pPr>
      <w:r w:rsidRPr="00B77A01">
        <w:rPr>
          <w:b/>
        </w:rPr>
        <w:lastRenderedPageBreak/>
        <w:t>Legenda:</w:t>
      </w:r>
    </w:p>
    <w:p w:rsidR="00D420E0" w:rsidRPr="00B77A01" w:rsidRDefault="00D420E0" w:rsidP="00C674FC">
      <w:pPr>
        <w:rPr>
          <w:b/>
        </w:rPr>
        <w:sectPr w:rsidR="00D420E0" w:rsidRPr="00B77A01" w:rsidSect="00E41D15">
          <w:pgSz w:w="16838" w:h="11906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D420E0" w:rsidRPr="00B77A01" w:rsidRDefault="00D420E0" w:rsidP="00C674FC">
      <w:pPr>
        <w:spacing w:after="0"/>
      </w:pPr>
      <w:r w:rsidRPr="00B77A01">
        <w:lastRenderedPageBreak/>
        <w:t>AZOO – Agencija za odgoj i obrazovanje</w:t>
      </w:r>
    </w:p>
    <w:p w:rsidR="00D420E0" w:rsidRPr="00B77A01" w:rsidRDefault="00D420E0" w:rsidP="00C674FC">
      <w:pPr>
        <w:spacing w:after="0"/>
      </w:pPr>
      <w:r w:rsidRPr="00B77A01">
        <w:t>DZS – Državni zavod za statistiku</w:t>
      </w:r>
    </w:p>
    <w:p w:rsidR="00D420E0" w:rsidRPr="00B77A01" w:rsidRDefault="00D420E0" w:rsidP="00C674FC">
      <w:pPr>
        <w:spacing w:after="0"/>
      </w:pPr>
      <w:r w:rsidRPr="00B77A01">
        <w:t>HGK – Hrvatska gospodarska komora</w:t>
      </w:r>
    </w:p>
    <w:p w:rsidR="00D420E0" w:rsidRPr="00B77A01" w:rsidRDefault="00D420E0" w:rsidP="00C674FC">
      <w:pPr>
        <w:spacing w:after="0"/>
      </w:pPr>
      <w:r w:rsidRPr="00B77A01">
        <w:t>HOK – Hrvatska obrtnička komora</w:t>
      </w:r>
    </w:p>
    <w:p w:rsidR="00D420E0" w:rsidRPr="00B77A01" w:rsidRDefault="00D420E0" w:rsidP="00C674FC">
      <w:pPr>
        <w:spacing w:after="0"/>
      </w:pPr>
      <w:r w:rsidRPr="00B77A01">
        <w:t>HUP – Hrvatska udruga poslodavaca</w:t>
      </w:r>
    </w:p>
    <w:p w:rsidR="00D420E0" w:rsidRPr="00B77A01" w:rsidRDefault="00D420E0" w:rsidP="00C674FC">
      <w:pPr>
        <w:spacing w:after="0"/>
      </w:pPr>
      <w:r w:rsidRPr="00B77A01">
        <w:t>HAH – Hrvatska agencija za hranu</w:t>
      </w:r>
    </w:p>
    <w:p w:rsidR="00D420E0" w:rsidRPr="00B77A01" w:rsidRDefault="00D420E0" w:rsidP="00C674FC">
      <w:pPr>
        <w:spacing w:after="0"/>
      </w:pPr>
      <w:r w:rsidRPr="00B77A01">
        <w:t>HZZO – Hrvatski zavod za zdravstveno osiguranje</w:t>
      </w:r>
    </w:p>
    <w:p w:rsidR="00D420E0" w:rsidRPr="00B77A01" w:rsidRDefault="00D420E0" w:rsidP="00C674FC">
      <w:pPr>
        <w:spacing w:after="0"/>
      </w:pPr>
      <w:r w:rsidRPr="00B77A01">
        <w:t>HZZZSR – Hrvatski zavod za zaštitu zdravlja i sigurnost na radu</w:t>
      </w:r>
    </w:p>
    <w:p w:rsidR="00D420E0" w:rsidRPr="00B77A01" w:rsidRDefault="00D420E0" w:rsidP="00C674FC">
      <w:pPr>
        <w:spacing w:after="0"/>
      </w:pPr>
      <w:r w:rsidRPr="00B77A01">
        <w:t>HZJZ – Hrvatski zavod za javno zdravstvo</w:t>
      </w:r>
    </w:p>
    <w:p w:rsidR="00D420E0" w:rsidRPr="00B77A01" w:rsidRDefault="00D420E0" w:rsidP="00C674FC">
      <w:pPr>
        <w:spacing w:after="0"/>
      </w:pPr>
      <w:r w:rsidRPr="00B77A01">
        <w:t>HTZ – Hrvatska turistička zajednica</w:t>
      </w:r>
    </w:p>
    <w:p w:rsidR="00D420E0" w:rsidRPr="00B77A01" w:rsidRDefault="00D420E0" w:rsidP="00C674FC">
      <w:pPr>
        <w:spacing w:after="0"/>
      </w:pPr>
      <w:r w:rsidRPr="00B77A01">
        <w:t>MPolj – Ministarstvo poljoprivrede</w:t>
      </w:r>
    </w:p>
    <w:p w:rsidR="00D420E0" w:rsidRPr="00B77A01" w:rsidRDefault="00D420E0" w:rsidP="00C674FC">
      <w:pPr>
        <w:spacing w:after="0"/>
      </w:pPr>
      <w:r w:rsidRPr="00B77A01">
        <w:t>MK – Ministarstvo kulture</w:t>
      </w:r>
    </w:p>
    <w:p w:rsidR="00D420E0" w:rsidRPr="00B77A01" w:rsidRDefault="00D420E0" w:rsidP="00C674FC">
      <w:pPr>
        <w:spacing w:after="0"/>
      </w:pPr>
      <w:r w:rsidRPr="00B77A01">
        <w:t>MG – Ministarstvo gospodarstva</w:t>
      </w:r>
    </w:p>
    <w:p w:rsidR="00D420E0" w:rsidRPr="00B77A01" w:rsidRDefault="00D420E0" w:rsidP="00C674FC">
      <w:pPr>
        <w:spacing w:after="0"/>
      </w:pPr>
      <w:r w:rsidRPr="00B77A01">
        <w:t>MZOP – Ministarstvo zaštite okoliša i prirode</w:t>
      </w:r>
    </w:p>
    <w:p w:rsidR="00D420E0" w:rsidRPr="00B77A01" w:rsidRDefault="00D420E0" w:rsidP="00C674FC">
      <w:pPr>
        <w:spacing w:after="0"/>
      </w:pPr>
      <w:r w:rsidRPr="00B77A01">
        <w:t>MMF – Ministarstvo financija</w:t>
      </w:r>
    </w:p>
    <w:p w:rsidR="00D420E0" w:rsidRPr="00B77A01" w:rsidRDefault="00D420E0" w:rsidP="00C674FC">
      <w:pPr>
        <w:spacing w:after="0"/>
      </w:pPr>
      <w:r w:rsidRPr="00B77A01">
        <w:t>MZ – Ministarstvo zdravlja</w:t>
      </w:r>
    </w:p>
    <w:p w:rsidR="00D420E0" w:rsidRPr="00B77A01" w:rsidRDefault="00D420E0" w:rsidP="00C674FC">
      <w:pPr>
        <w:spacing w:after="0"/>
      </w:pPr>
      <w:r w:rsidRPr="00B77A01">
        <w:t>MUP – Ministarstvo unutarnjih poslova</w:t>
      </w:r>
    </w:p>
    <w:p w:rsidR="00D420E0" w:rsidRPr="00B77A01" w:rsidRDefault="00D420E0" w:rsidP="00C674FC">
      <w:pPr>
        <w:spacing w:after="0"/>
      </w:pPr>
      <w:r w:rsidRPr="00B77A01">
        <w:t>MP – Ministarstvo pravosuđa</w:t>
      </w:r>
    </w:p>
    <w:p w:rsidR="00D420E0" w:rsidRPr="00B77A01" w:rsidRDefault="00D420E0" w:rsidP="00C674FC">
      <w:pPr>
        <w:spacing w:after="0"/>
      </w:pPr>
      <w:r w:rsidRPr="00B77A01">
        <w:t>MRMS – Ministarstvo rada i mirovinskog sustava</w:t>
      </w:r>
    </w:p>
    <w:p w:rsidR="00D420E0" w:rsidRPr="00B77A01" w:rsidRDefault="00D420E0" w:rsidP="00C674FC">
      <w:pPr>
        <w:spacing w:after="0"/>
      </w:pPr>
      <w:r w:rsidRPr="00B77A01">
        <w:t>MPPI – Ministarstvo pomorstva, prometa i infrastrukture</w:t>
      </w:r>
    </w:p>
    <w:p w:rsidR="00D420E0" w:rsidRPr="00B77A01" w:rsidRDefault="00D420E0" w:rsidP="00C674FC">
      <w:pPr>
        <w:spacing w:after="0"/>
      </w:pPr>
      <w:r w:rsidRPr="00B77A01">
        <w:t>MJU – Ministarstvo javne uprave</w:t>
      </w:r>
    </w:p>
    <w:p w:rsidR="00D420E0" w:rsidRPr="00B77A01" w:rsidRDefault="00D420E0" w:rsidP="00C674FC">
      <w:pPr>
        <w:spacing w:after="0"/>
      </w:pPr>
      <w:r w:rsidRPr="00B77A01">
        <w:t>MSPM – Ministarstvo socijalne politike i mladih</w:t>
      </w:r>
    </w:p>
    <w:p w:rsidR="00D420E0" w:rsidRPr="00B77A01" w:rsidRDefault="00D420E0" w:rsidP="00C674FC">
      <w:pPr>
        <w:spacing w:after="0"/>
      </w:pPr>
      <w:r w:rsidRPr="00B77A01">
        <w:t>MZOS – Ministarstvo znanosti, obrazovanja i sporta</w:t>
      </w:r>
    </w:p>
    <w:p w:rsidR="00D420E0" w:rsidRPr="00B77A01" w:rsidRDefault="00D420E0" w:rsidP="00C674FC">
      <w:pPr>
        <w:spacing w:after="0"/>
      </w:pPr>
      <w:r w:rsidRPr="00B77A01">
        <w:t>MT – Ministarstvo turizma</w:t>
      </w:r>
    </w:p>
    <w:p w:rsidR="00D420E0" w:rsidRPr="00B77A01" w:rsidRDefault="00D420E0" w:rsidP="00C674FC">
      <w:pPr>
        <w:spacing w:after="0" w:line="360" w:lineRule="auto"/>
        <w:jc w:val="both"/>
        <w:sectPr w:rsidR="00D420E0" w:rsidRPr="00B77A01" w:rsidSect="00E41D15">
          <w:type w:val="continuous"/>
          <w:pgSz w:w="16838" w:h="11906" w:orient="landscape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D420E0" w:rsidRPr="00B77A01" w:rsidRDefault="00D420E0" w:rsidP="009D6B4E">
      <w:pPr>
        <w:pStyle w:val="Naslov1"/>
        <w:spacing w:before="0" w:line="360" w:lineRule="auto"/>
        <w:jc w:val="both"/>
      </w:pPr>
      <w:bookmarkStart w:id="22" w:name="_Toc414264392"/>
      <w:r w:rsidRPr="00B77A01">
        <w:lastRenderedPageBreak/>
        <w:t>Sažetak</w:t>
      </w:r>
      <w:bookmarkEnd w:id="22"/>
    </w:p>
    <w:p w:rsidR="00D420E0" w:rsidRPr="00B77A01" w:rsidRDefault="00D420E0" w:rsidP="009E3FFA">
      <w:pPr>
        <w:spacing w:after="0" w:line="360" w:lineRule="auto"/>
        <w:jc w:val="both"/>
      </w:pPr>
      <w:r w:rsidRPr="00B77A01">
        <w:t xml:space="preserve">Ulaganje u prevenciju i kontrolu kroničnih nezaraznih bolesti smanjuje broj preranih smrti te sprečava pobol i invaliditet, istovremeno unapređujući kvalitetu života i dobrobit ljudi i društva. Kronične nezarazne bolesti uzrok su </w:t>
      </w:r>
      <w:r w:rsidRPr="00B77A01">
        <w:rPr>
          <w:color w:val="000000"/>
        </w:rPr>
        <w:t xml:space="preserve">89% </w:t>
      </w:r>
      <w:r w:rsidRPr="00B77A01">
        <w:t>smrti i predstavljanju teret bole</w:t>
      </w:r>
      <w:r>
        <w:t>sti</w:t>
      </w:r>
      <w:r w:rsidRPr="00B77A01">
        <w:t xml:space="preserve"> od </w:t>
      </w:r>
      <w:r w:rsidRPr="00B77A01">
        <w:rPr>
          <w:color w:val="000000"/>
        </w:rPr>
        <w:t xml:space="preserve">77%. Većina njih povezana je sa zajedničkim faktorima rizika što nam daje mogućnost da utječemo na nekoliko bolesti putem pojedinačnih intervencija. Ovaj dokument sadrži Akcijski plan za prevenciju i kontrolu kroničnih nezaraznih bolesti u Republici </w:t>
      </w:r>
      <w:r w:rsidRPr="00B77A01">
        <w:t>Hrvatskoj. On predstavlja sveobuhvatan okvir za djelovanje u prioritetnim područjima u sljedećih pet godina (2015</w:t>
      </w:r>
      <w:r>
        <w:t>.</w:t>
      </w:r>
      <w:r w:rsidRPr="00B77A01">
        <w:t>-2020</w:t>
      </w:r>
      <w:r>
        <w:t>.</w:t>
      </w:r>
      <w:r w:rsidRPr="00B77A01">
        <w:t>). Sastavljenje tijekom savjetodavnog procesa vođenog interdisciplinarnom radnom grupom Vlade Republike Hrvatske koja se sastojala  od najviših državnih dužnosnika. Osnova za razvoj ovog plana može se pronaći u novoj Europskoj zdravstvenoj politici (Zdravlje2020), Zdravstvenoj strategiji Republike Hrvatske 2012</w:t>
      </w:r>
      <w:r>
        <w:t>.</w:t>
      </w:r>
      <w:r w:rsidRPr="00B77A01">
        <w:t>-2020</w:t>
      </w:r>
      <w:r>
        <w:t>.</w:t>
      </w:r>
      <w:r w:rsidRPr="00B77A01">
        <w:t>i Strateškom planu razvoja javnog zdravstva 2013</w:t>
      </w:r>
      <w:r>
        <w:t>.</w:t>
      </w:r>
      <w:r w:rsidRPr="00B77A01">
        <w:t>-2015.</w:t>
      </w:r>
    </w:p>
    <w:sectPr w:rsidR="00D420E0" w:rsidRPr="00B77A01" w:rsidSect="009D6B4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51" w:rsidRDefault="00A41E51" w:rsidP="004B377D">
      <w:pPr>
        <w:spacing w:after="0" w:line="240" w:lineRule="auto"/>
      </w:pPr>
      <w:r>
        <w:separator/>
      </w:r>
    </w:p>
  </w:endnote>
  <w:endnote w:type="continuationSeparator" w:id="0">
    <w:p w:rsidR="00A41E51" w:rsidRDefault="00A41E51" w:rsidP="004B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A41E5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33B">
      <w:rPr>
        <w:noProof/>
      </w:rPr>
      <w:t>54</w:t>
    </w:r>
    <w:r>
      <w:rPr>
        <w:noProof/>
      </w:rPr>
      <w:fldChar w:fldCharType="end"/>
    </w:r>
  </w:p>
  <w:p w:rsidR="00D420E0" w:rsidRDefault="00D420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51" w:rsidRDefault="00A41E51" w:rsidP="004B377D">
      <w:pPr>
        <w:spacing w:after="0" w:line="240" w:lineRule="auto"/>
      </w:pPr>
      <w:r>
        <w:separator/>
      </w:r>
    </w:p>
  </w:footnote>
  <w:footnote w:type="continuationSeparator" w:id="0">
    <w:p w:rsidR="00A41E51" w:rsidRDefault="00A41E51" w:rsidP="004B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D420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D420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E0" w:rsidRDefault="00D420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C8F"/>
    <w:multiLevelType w:val="hybridMultilevel"/>
    <w:tmpl w:val="A2F6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B6FC0"/>
    <w:multiLevelType w:val="hybridMultilevel"/>
    <w:tmpl w:val="72EC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65AFE"/>
    <w:multiLevelType w:val="hybridMultilevel"/>
    <w:tmpl w:val="413C1CF6"/>
    <w:lvl w:ilvl="0" w:tplc="C87A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05208"/>
    <w:multiLevelType w:val="hybridMultilevel"/>
    <w:tmpl w:val="55C0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92C40"/>
    <w:multiLevelType w:val="hybridMultilevel"/>
    <w:tmpl w:val="1D687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6971D4"/>
    <w:multiLevelType w:val="hybridMultilevel"/>
    <w:tmpl w:val="A712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A290A"/>
    <w:multiLevelType w:val="hybridMultilevel"/>
    <w:tmpl w:val="A712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550C2"/>
    <w:multiLevelType w:val="hybridMultilevel"/>
    <w:tmpl w:val="1722F2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76710"/>
    <w:multiLevelType w:val="hybridMultilevel"/>
    <w:tmpl w:val="36DCEC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62EA7"/>
    <w:multiLevelType w:val="hybridMultilevel"/>
    <w:tmpl w:val="169A9156"/>
    <w:lvl w:ilvl="0" w:tplc="7B3AF5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A81"/>
    <w:multiLevelType w:val="hybridMultilevel"/>
    <w:tmpl w:val="63C03F0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B52270"/>
    <w:multiLevelType w:val="hybridMultilevel"/>
    <w:tmpl w:val="20C0C6E0"/>
    <w:lvl w:ilvl="0" w:tplc="D86654CA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4E4A"/>
    <w:multiLevelType w:val="hybridMultilevel"/>
    <w:tmpl w:val="55C0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E2475"/>
    <w:multiLevelType w:val="hybridMultilevel"/>
    <w:tmpl w:val="9C8E86E8"/>
    <w:lvl w:ilvl="0" w:tplc="D86654CA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158A9"/>
    <w:multiLevelType w:val="hybridMultilevel"/>
    <w:tmpl w:val="9054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17E7"/>
    <w:multiLevelType w:val="hybridMultilevel"/>
    <w:tmpl w:val="3B9069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A2A60"/>
    <w:multiLevelType w:val="hybridMultilevel"/>
    <w:tmpl w:val="AF721F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D1D79"/>
    <w:multiLevelType w:val="hybridMultilevel"/>
    <w:tmpl w:val="413C1CF6"/>
    <w:lvl w:ilvl="0" w:tplc="C87A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D58E7"/>
    <w:multiLevelType w:val="hybridMultilevel"/>
    <w:tmpl w:val="55C0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18534E"/>
    <w:multiLevelType w:val="hybridMultilevel"/>
    <w:tmpl w:val="72EC23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93E91"/>
    <w:multiLevelType w:val="hybridMultilevel"/>
    <w:tmpl w:val="658E63A0"/>
    <w:lvl w:ilvl="0" w:tplc="453EABF6">
      <w:start w:val="1"/>
      <w:numFmt w:val="bullet"/>
      <w:lvlText w:val=""/>
      <w:lvlJc w:val="left"/>
      <w:pPr>
        <w:ind w:left="713" w:hanging="360"/>
      </w:pPr>
      <w:rPr>
        <w:rFonts w:ascii="Wingdings" w:hAnsi="Wingdings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5776C"/>
    <w:multiLevelType w:val="hybridMultilevel"/>
    <w:tmpl w:val="55C038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82532D"/>
    <w:multiLevelType w:val="hybridMultilevel"/>
    <w:tmpl w:val="AACAAD60"/>
    <w:lvl w:ilvl="0" w:tplc="7B3AF5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D2083"/>
    <w:multiLevelType w:val="hybridMultilevel"/>
    <w:tmpl w:val="04962DAE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7A6388"/>
    <w:multiLevelType w:val="hybridMultilevel"/>
    <w:tmpl w:val="2CB8EECA"/>
    <w:lvl w:ilvl="0" w:tplc="C87A8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234ECC"/>
    <w:multiLevelType w:val="hybridMultilevel"/>
    <w:tmpl w:val="AF4ED7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3D3E3A"/>
    <w:multiLevelType w:val="hybridMultilevel"/>
    <w:tmpl w:val="F75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F1EA9"/>
    <w:multiLevelType w:val="hybridMultilevel"/>
    <w:tmpl w:val="A9D84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13047"/>
    <w:multiLevelType w:val="hybridMultilevel"/>
    <w:tmpl w:val="63C03F0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9"/>
  </w:num>
  <w:num w:numId="5">
    <w:abstractNumId w:val="25"/>
  </w:num>
  <w:num w:numId="6">
    <w:abstractNumId w:val="16"/>
  </w:num>
  <w:num w:numId="7">
    <w:abstractNumId w:val="12"/>
  </w:num>
  <w:num w:numId="8">
    <w:abstractNumId w:val="22"/>
  </w:num>
  <w:num w:numId="9">
    <w:abstractNumId w:val="24"/>
  </w:num>
  <w:num w:numId="10">
    <w:abstractNumId w:val="26"/>
  </w:num>
  <w:num w:numId="11">
    <w:abstractNumId w:val="0"/>
  </w:num>
  <w:num w:numId="12">
    <w:abstractNumId w:val="2"/>
  </w:num>
  <w:num w:numId="13">
    <w:abstractNumId w:val="17"/>
  </w:num>
  <w:num w:numId="14">
    <w:abstractNumId w:val="14"/>
  </w:num>
  <w:num w:numId="15">
    <w:abstractNumId w:val="28"/>
  </w:num>
  <w:num w:numId="16">
    <w:abstractNumId w:val="10"/>
  </w:num>
  <w:num w:numId="17">
    <w:abstractNumId w:val="6"/>
  </w:num>
  <w:num w:numId="18">
    <w:abstractNumId w:val="5"/>
  </w:num>
  <w:num w:numId="19">
    <w:abstractNumId w:val="3"/>
  </w:num>
  <w:num w:numId="20">
    <w:abstractNumId w:val="21"/>
  </w:num>
  <w:num w:numId="21">
    <w:abstractNumId w:val="18"/>
  </w:num>
  <w:num w:numId="22">
    <w:abstractNumId w:val="7"/>
  </w:num>
  <w:num w:numId="23">
    <w:abstractNumId w:val="19"/>
  </w:num>
  <w:num w:numId="24">
    <w:abstractNumId w:val="1"/>
  </w:num>
  <w:num w:numId="25">
    <w:abstractNumId w:val="4"/>
  </w:num>
  <w:num w:numId="26">
    <w:abstractNumId w:val="20"/>
  </w:num>
  <w:num w:numId="27">
    <w:abstractNumId w:val="8"/>
  </w:num>
  <w:num w:numId="28">
    <w:abstractNumId w:val="23"/>
  </w:num>
  <w:num w:numId="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70"/>
    <w:rsid w:val="00004DE6"/>
    <w:rsid w:val="00012EE0"/>
    <w:rsid w:val="00014AB5"/>
    <w:rsid w:val="0001690A"/>
    <w:rsid w:val="00020351"/>
    <w:rsid w:val="00020FA1"/>
    <w:rsid w:val="000366F0"/>
    <w:rsid w:val="00040025"/>
    <w:rsid w:val="000423C1"/>
    <w:rsid w:val="0004334B"/>
    <w:rsid w:val="00046C99"/>
    <w:rsid w:val="00053B7A"/>
    <w:rsid w:val="000576BA"/>
    <w:rsid w:val="0006346E"/>
    <w:rsid w:val="00067CF7"/>
    <w:rsid w:val="0007313D"/>
    <w:rsid w:val="000801AE"/>
    <w:rsid w:val="00083383"/>
    <w:rsid w:val="000969EE"/>
    <w:rsid w:val="000A3B84"/>
    <w:rsid w:val="000A3DB6"/>
    <w:rsid w:val="000A739B"/>
    <w:rsid w:val="000B491B"/>
    <w:rsid w:val="000B6704"/>
    <w:rsid w:val="000B6B76"/>
    <w:rsid w:val="000C10CF"/>
    <w:rsid w:val="000C42D5"/>
    <w:rsid w:val="000C7209"/>
    <w:rsid w:val="000D2749"/>
    <w:rsid w:val="000D7037"/>
    <w:rsid w:val="000D7A69"/>
    <w:rsid w:val="000E0E42"/>
    <w:rsid w:val="000E272F"/>
    <w:rsid w:val="000E4EB4"/>
    <w:rsid w:val="000E6C0F"/>
    <w:rsid w:val="000F2E06"/>
    <w:rsid w:val="000F426E"/>
    <w:rsid w:val="000F5A42"/>
    <w:rsid w:val="000F5CE5"/>
    <w:rsid w:val="00101A73"/>
    <w:rsid w:val="00102FD4"/>
    <w:rsid w:val="0010457C"/>
    <w:rsid w:val="00110F61"/>
    <w:rsid w:val="0011591A"/>
    <w:rsid w:val="00117FEA"/>
    <w:rsid w:val="0012063C"/>
    <w:rsid w:val="00125335"/>
    <w:rsid w:val="001329A4"/>
    <w:rsid w:val="00134D38"/>
    <w:rsid w:val="00134F7B"/>
    <w:rsid w:val="00135F79"/>
    <w:rsid w:val="00136E29"/>
    <w:rsid w:val="00140725"/>
    <w:rsid w:val="00161DEC"/>
    <w:rsid w:val="00161E83"/>
    <w:rsid w:val="001645CB"/>
    <w:rsid w:val="00167592"/>
    <w:rsid w:val="0017273B"/>
    <w:rsid w:val="00174650"/>
    <w:rsid w:val="00175B2C"/>
    <w:rsid w:val="00177FC7"/>
    <w:rsid w:val="0018404A"/>
    <w:rsid w:val="00190101"/>
    <w:rsid w:val="001973DA"/>
    <w:rsid w:val="001A03F6"/>
    <w:rsid w:val="001A544E"/>
    <w:rsid w:val="001A5CFF"/>
    <w:rsid w:val="001A6268"/>
    <w:rsid w:val="001B3518"/>
    <w:rsid w:val="001B39CF"/>
    <w:rsid w:val="001B4943"/>
    <w:rsid w:val="001B4BD4"/>
    <w:rsid w:val="001B63B8"/>
    <w:rsid w:val="001B76B4"/>
    <w:rsid w:val="001C06D1"/>
    <w:rsid w:val="001C2888"/>
    <w:rsid w:val="001C40A5"/>
    <w:rsid w:val="001C6666"/>
    <w:rsid w:val="001C6C19"/>
    <w:rsid w:val="001D433B"/>
    <w:rsid w:val="001D4F4D"/>
    <w:rsid w:val="001D7CF9"/>
    <w:rsid w:val="001E34B9"/>
    <w:rsid w:val="001E3CF3"/>
    <w:rsid w:val="001E5331"/>
    <w:rsid w:val="001F03DF"/>
    <w:rsid w:val="001F4725"/>
    <w:rsid w:val="001F68C3"/>
    <w:rsid w:val="00202751"/>
    <w:rsid w:val="002048EE"/>
    <w:rsid w:val="00204F84"/>
    <w:rsid w:val="002108E7"/>
    <w:rsid w:val="00214F2F"/>
    <w:rsid w:val="002168F1"/>
    <w:rsid w:val="00227C62"/>
    <w:rsid w:val="00230763"/>
    <w:rsid w:val="002312D0"/>
    <w:rsid w:val="002365F9"/>
    <w:rsid w:val="00236B22"/>
    <w:rsid w:val="00237571"/>
    <w:rsid w:val="00241402"/>
    <w:rsid w:val="0024140B"/>
    <w:rsid w:val="002419CA"/>
    <w:rsid w:val="00241E08"/>
    <w:rsid w:val="00242BDD"/>
    <w:rsid w:val="00244B5D"/>
    <w:rsid w:val="0024618F"/>
    <w:rsid w:val="00250743"/>
    <w:rsid w:val="00255BF0"/>
    <w:rsid w:val="002609C9"/>
    <w:rsid w:val="00260A0A"/>
    <w:rsid w:val="00262096"/>
    <w:rsid w:val="00263091"/>
    <w:rsid w:val="0026414C"/>
    <w:rsid w:val="00265354"/>
    <w:rsid w:val="002678B1"/>
    <w:rsid w:val="00270187"/>
    <w:rsid w:val="00270875"/>
    <w:rsid w:val="0027548A"/>
    <w:rsid w:val="00277CBE"/>
    <w:rsid w:val="00277DA4"/>
    <w:rsid w:val="0028118D"/>
    <w:rsid w:val="00282553"/>
    <w:rsid w:val="0028256C"/>
    <w:rsid w:val="00284102"/>
    <w:rsid w:val="00284F82"/>
    <w:rsid w:val="002936F9"/>
    <w:rsid w:val="00294A2F"/>
    <w:rsid w:val="002A0D62"/>
    <w:rsid w:val="002A1E0A"/>
    <w:rsid w:val="002A338C"/>
    <w:rsid w:val="002A5702"/>
    <w:rsid w:val="002A5A7B"/>
    <w:rsid w:val="002A698F"/>
    <w:rsid w:val="002B2726"/>
    <w:rsid w:val="002B27EF"/>
    <w:rsid w:val="002B5123"/>
    <w:rsid w:val="002C33B3"/>
    <w:rsid w:val="002C35C8"/>
    <w:rsid w:val="002D00E0"/>
    <w:rsid w:val="002D12CE"/>
    <w:rsid w:val="002D7719"/>
    <w:rsid w:val="002E0974"/>
    <w:rsid w:val="002E0B32"/>
    <w:rsid w:val="002E217B"/>
    <w:rsid w:val="002E2432"/>
    <w:rsid w:val="002E2534"/>
    <w:rsid w:val="002E47C2"/>
    <w:rsid w:val="002E568B"/>
    <w:rsid w:val="002E78BA"/>
    <w:rsid w:val="002F2756"/>
    <w:rsid w:val="002F55BE"/>
    <w:rsid w:val="00302C3F"/>
    <w:rsid w:val="0030307B"/>
    <w:rsid w:val="00303101"/>
    <w:rsid w:val="003068EC"/>
    <w:rsid w:val="00307121"/>
    <w:rsid w:val="00307396"/>
    <w:rsid w:val="003073C7"/>
    <w:rsid w:val="00313C4B"/>
    <w:rsid w:val="003141D9"/>
    <w:rsid w:val="00315952"/>
    <w:rsid w:val="00316FFC"/>
    <w:rsid w:val="003173F9"/>
    <w:rsid w:val="003176B7"/>
    <w:rsid w:val="00324147"/>
    <w:rsid w:val="003273D8"/>
    <w:rsid w:val="00331C7C"/>
    <w:rsid w:val="00331D1C"/>
    <w:rsid w:val="00336A9A"/>
    <w:rsid w:val="0035065C"/>
    <w:rsid w:val="00350C69"/>
    <w:rsid w:val="00355E0D"/>
    <w:rsid w:val="003629D4"/>
    <w:rsid w:val="00363869"/>
    <w:rsid w:val="00375C86"/>
    <w:rsid w:val="0037772F"/>
    <w:rsid w:val="0038293E"/>
    <w:rsid w:val="00384405"/>
    <w:rsid w:val="003850B3"/>
    <w:rsid w:val="00385521"/>
    <w:rsid w:val="00393A0C"/>
    <w:rsid w:val="00393DFF"/>
    <w:rsid w:val="00393EAA"/>
    <w:rsid w:val="00394A22"/>
    <w:rsid w:val="003B652C"/>
    <w:rsid w:val="003B7A07"/>
    <w:rsid w:val="003C25EF"/>
    <w:rsid w:val="003C3F29"/>
    <w:rsid w:val="003C573C"/>
    <w:rsid w:val="003D0A9A"/>
    <w:rsid w:val="003D1783"/>
    <w:rsid w:val="003D1998"/>
    <w:rsid w:val="003D2753"/>
    <w:rsid w:val="003D3FC3"/>
    <w:rsid w:val="003D3FE9"/>
    <w:rsid w:val="003D67D6"/>
    <w:rsid w:val="003E1EB3"/>
    <w:rsid w:val="003E2BD4"/>
    <w:rsid w:val="003E450B"/>
    <w:rsid w:val="003E467F"/>
    <w:rsid w:val="003E5073"/>
    <w:rsid w:val="003F0EA7"/>
    <w:rsid w:val="003F281B"/>
    <w:rsid w:val="003F30E2"/>
    <w:rsid w:val="00400B32"/>
    <w:rsid w:val="00405A07"/>
    <w:rsid w:val="00406104"/>
    <w:rsid w:val="00412EBA"/>
    <w:rsid w:val="00414393"/>
    <w:rsid w:val="00416080"/>
    <w:rsid w:val="0041712C"/>
    <w:rsid w:val="0042499B"/>
    <w:rsid w:val="00425756"/>
    <w:rsid w:val="00425E8D"/>
    <w:rsid w:val="00426153"/>
    <w:rsid w:val="00430E25"/>
    <w:rsid w:val="004327BC"/>
    <w:rsid w:val="00433143"/>
    <w:rsid w:val="00433358"/>
    <w:rsid w:val="0043553B"/>
    <w:rsid w:val="00444307"/>
    <w:rsid w:val="00445D22"/>
    <w:rsid w:val="004530CE"/>
    <w:rsid w:val="0045404A"/>
    <w:rsid w:val="0045552A"/>
    <w:rsid w:val="00456FBF"/>
    <w:rsid w:val="00457F3D"/>
    <w:rsid w:val="0046009F"/>
    <w:rsid w:val="00462282"/>
    <w:rsid w:val="00463CE8"/>
    <w:rsid w:val="00465FF1"/>
    <w:rsid w:val="004668C6"/>
    <w:rsid w:val="00467A3C"/>
    <w:rsid w:val="00472CBE"/>
    <w:rsid w:val="004804B3"/>
    <w:rsid w:val="00483E33"/>
    <w:rsid w:val="00494958"/>
    <w:rsid w:val="00494997"/>
    <w:rsid w:val="00494AAF"/>
    <w:rsid w:val="0049765A"/>
    <w:rsid w:val="00497BE5"/>
    <w:rsid w:val="004A6BAB"/>
    <w:rsid w:val="004A7E1A"/>
    <w:rsid w:val="004B0374"/>
    <w:rsid w:val="004B04D5"/>
    <w:rsid w:val="004B1815"/>
    <w:rsid w:val="004B377D"/>
    <w:rsid w:val="004B4372"/>
    <w:rsid w:val="004B47FF"/>
    <w:rsid w:val="004B7B40"/>
    <w:rsid w:val="004C076D"/>
    <w:rsid w:val="004C103A"/>
    <w:rsid w:val="004C11DA"/>
    <w:rsid w:val="004C2934"/>
    <w:rsid w:val="004C4F44"/>
    <w:rsid w:val="004C5D03"/>
    <w:rsid w:val="004C65A9"/>
    <w:rsid w:val="004C67FF"/>
    <w:rsid w:val="004D0B59"/>
    <w:rsid w:val="004D0FAD"/>
    <w:rsid w:val="004E0706"/>
    <w:rsid w:val="004E17CF"/>
    <w:rsid w:val="004E1B1E"/>
    <w:rsid w:val="004E265C"/>
    <w:rsid w:val="004E42D2"/>
    <w:rsid w:val="004E71E3"/>
    <w:rsid w:val="004F70C9"/>
    <w:rsid w:val="00500B72"/>
    <w:rsid w:val="00502DDB"/>
    <w:rsid w:val="00504A19"/>
    <w:rsid w:val="005078C0"/>
    <w:rsid w:val="00513375"/>
    <w:rsid w:val="00520C68"/>
    <w:rsid w:val="00523E1E"/>
    <w:rsid w:val="0052530C"/>
    <w:rsid w:val="00527B02"/>
    <w:rsid w:val="00527D30"/>
    <w:rsid w:val="00531956"/>
    <w:rsid w:val="005349C2"/>
    <w:rsid w:val="005438D7"/>
    <w:rsid w:val="0055234D"/>
    <w:rsid w:val="005529D7"/>
    <w:rsid w:val="00554B76"/>
    <w:rsid w:val="00555E39"/>
    <w:rsid w:val="005643A0"/>
    <w:rsid w:val="0057042B"/>
    <w:rsid w:val="00571192"/>
    <w:rsid w:val="00576A05"/>
    <w:rsid w:val="005911A3"/>
    <w:rsid w:val="00593632"/>
    <w:rsid w:val="005947E0"/>
    <w:rsid w:val="00596661"/>
    <w:rsid w:val="00597B59"/>
    <w:rsid w:val="00597E12"/>
    <w:rsid w:val="005A432E"/>
    <w:rsid w:val="005B0123"/>
    <w:rsid w:val="005B40CE"/>
    <w:rsid w:val="005B76AB"/>
    <w:rsid w:val="005C0BB0"/>
    <w:rsid w:val="005C50B0"/>
    <w:rsid w:val="005C5AF4"/>
    <w:rsid w:val="005C6B31"/>
    <w:rsid w:val="005C6D14"/>
    <w:rsid w:val="005D0847"/>
    <w:rsid w:val="005D5CA0"/>
    <w:rsid w:val="005D68F0"/>
    <w:rsid w:val="005E6E35"/>
    <w:rsid w:val="005F3B3C"/>
    <w:rsid w:val="005F3D85"/>
    <w:rsid w:val="006026B6"/>
    <w:rsid w:val="006131D2"/>
    <w:rsid w:val="006209AB"/>
    <w:rsid w:val="00625CF7"/>
    <w:rsid w:val="0062634E"/>
    <w:rsid w:val="00626529"/>
    <w:rsid w:val="00633CF5"/>
    <w:rsid w:val="006416F9"/>
    <w:rsid w:val="00643097"/>
    <w:rsid w:val="0064480F"/>
    <w:rsid w:val="00647B2A"/>
    <w:rsid w:val="00656A77"/>
    <w:rsid w:val="00663AE8"/>
    <w:rsid w:val="00665283"/>
    <w:rsid w:val="006717BD"/>
    <w:rsid w:val="0067300D"/>
    <w:rsid w:val="00673683"/>
    <w:rsid w:val="00681C63"/>
    <w:rsid w:val="00685EBC"/>
    <w:rsid w:val="006963F2"/>
    <w:rsid w:val="0069719A"/>
    <w:rsid w:val="0069774D"/>
    <w:rsid w:val="006A07A7"/>
    <w:rsid w:val="006A5869"/>
    <w:rsid w:val="006A5DD5"/>
    <w:rsid w:val="006A6E38"/>
    <w:rsid w:val="006A705B"/>
    <w:rsid w:val="006B0BAC"/>
    <w:rsid w:val="006B2F80"/>
    <w:rsid w:val="006C0A18"/>
    <w:rsid w:val="006D1EB8"/>
    <w:rsid w:val="006D368A"/>
    <w:rsid w:val="006D4CC6"/>
    <w:rsid w:val="006D4F33"/>
    <w:rsid w:val="006E0349"/>
    <w:rsid w:val="006E0366"/>
    <w:rsid w:val="006E2970"/>
    <w:rsid w:val="006E4418"/>
    <w:rsid w:val="006E502A"/>
    <w:rsid w:val="006E5713"/>
    <w:rsid w:val="006F30D5"/>
    <w:rsid w:val="006F3BCB"/>
    <w:rsid w:val="006F4FDE"/>
    <w:rsid w:val="0070245F"/>
    <w:rsid w:val="0070624D"/>
    <w:rsid w:val="007107A1"/>
    <w:rsid w:val="007116AA"/>
    <w:rsid w:val="00712B8A"/>
    <w:rsid w:val="00714EDF"/>
    <w:rsid w:val="00716773"/>
    <w:rsid w:val="00716BCE"/>
    <w:rsid w:val="00717134"/>
    <w:rsid w:val="00717816"/>
    <w:rsid w:val="007234A4"/>
    <w:rsid w:val="007248A2"/>
    <w:rsid w:val="00726636"/>
    <w:rsid w:val="00726F87"/>
    <w:rsid w:val="00731CBC"/>
    <w:rsid w:val="00732884"/>
    <w:rsid w:val="0073372F"/>
    <w:rsid w:val="00742076"/>
    <w:rsid w:val="00742128"/>
    <w:rsid w:val="00743A84"/>
    <w:rsid w:val="0074552A"/>
    <w:rsid w:val="00746932"/>
    <w:rsid w:val="00747FA8"/>
    <w:rsid w:val="00750BD5"/>
    <w:rsid w:val="007514F6"/>
    <w:rsid w:val="007538AE"/>
    <w:rsid w:val="007542A7"/>
    <w:rsid w:val="00760224"/>
    <w:rsid w:val="00761CB4"/>
    <w:rsid w:val="007625B3"/>
    <w:rsid w:val="00763B56"/>
    <w:rsid w:val="00763E81"/>
    <w:rsid w:val="00772CC2"/>
    <w:rsid w:val="0077398B"/>
    <w:rsid w:val="00776E09"/>
    <w:rsid w:val="0077736D"/>
    <w:rsid w:val="00781170"/>
    <w:rsid w:val="00782540"/>
    <w:rsid w:val="0078340A"/>
    <w:rsid w:val="00787E8E"/>
    <w:rsid w:val="007A3570"/>
    <w:rsid w:val="007A4262"/>
    <w:rsid w:val="007B2699"/>
    <w:rsid w:val="007B315F"/>
    <w:rsid w:val="007B5068"/>
    <w:rsid w:val="007B5370"/>
    <w:rsid w:val="007B5718"/>
    <w:rsid w:val="007C0C9F"/>
    <w:rsid w:val="007C1F07"/>
    <w:rsid w:val="007C4148"/>
    <w:rsid w:val="007C5E0F"/>
    <w:rsid w:val="007C68D7"/>
    <w:rsid w:val="007D061B"/>
    <w:rsid w:val="007D2E06"/>
    <w:rsid w:val="007D3C79"/>
    <w:rsid w:val="007D3E5B"/>
    <w:rsid w:val="007D65E4"/>
    <w:rsid w:val="007D6631"/>
    <w:rsid w:val="007E049E"/>
    <w:rsid w:val="007E1155"/>
    <w:rsid w:val="007E1215"/>
    <w:rsid w:val="007E2A9F"/>
    <w:rsid w:val="007E4285"/>
    <w:rsid w:val="007E461B"/>
    <w:rsid w:val="007F2A81"/>
    <w:rsid w:val="007F7289"/>
    <w:rsid w:val="00804CDE"/>
    <w:rsid w:val="00806009"/>
    <w:rsid w:val="0080608D"/>
    <w:rsid w:val="008076ED"/>
    <w:rsid w:val="00813219"/>
    <w:rsid w:val="00814C2B"/>
    <w:rsid w:val="008163FF"/>
    <w:rsid w:val="00817B6A"/>
    <w:rsid w:val="008208B5"/>
    <w:rsid w:val="00840D0C"/>
    <w:rsid w:val="0084178F"/>
    <w:rsid w:val="00841D69"/>
    <w:rsid w:val="00846512"/>
    <w:rsid w:val="00847B73"/>
    <w:rsid w:val="00851794"/>
    <w:rsid w:val="00852562"/>
    <w:rsid w:val="00853896"/>
    <w:rsid w:val="00860281"/>
    <w:rsid w:val="008606BD"/>
    <w:rsid w:val="00861DA1"/>
    <w:rsid w:val="00863541"/>
    <w:rsid w:val="00864D15"/>
    <w:rsid w:val="008677F8"/>
    <w:rsid w:val="00870F6B"/>
    <w:rsid w:val="00875ED1"/>
    <w:rsid w:val="00880BE5"/>
    <w:rsid w:val="008825EF"/>
    <w:rsid w:val="00882DC1"/>
    <w:rsid w:val="00884098"/>
    <w:rsid w:val="00885E68"/>
    <w:rsid w:val="008876B8"/>
    <w:rsid w:val="00892420"/>
    <w:rsid w:val="00896D6B"/>
    <w:rsid w:val="00897317"/>
    <w:rsid w:val="008A0007"/>
    <w:rsid w:val="008B03B6"/>
    <w:rsid w:val="008B047B"/>
    <w:rsid w:val="008B0796"/>
    <w:rsid w:val="008B479C"/>
    <w:rsid w:val="008B4874"/>
    <w:rsid w:val="008C36D1"/>
    <w:rsid w:val="008C380A"/>
    <w:rsid w:val="008D025C"/>
    <w:rsid w:val="008D2F05"/>
    <w:rsid w:val="008E341D"/>
    <w:rsid w:val="008E3CDA"/>
    <w:rsid w:val="008E3E0B"/>
    <w:rsid w:val="008E7624"/>
    <w:rsid w:val="008F2415"/>
    <w:rsid w:val="008F7DA0"/>
    <w:rsid w:val="00900093"/>
    <w:rsid w:val="009018AC"/>
    <w:rsid w:val="00901E16"/>
    <w:rsid w:val="00903891"/>
    <w:rsid w:val="009065D0"/>
    <w:rsid w:val="00906D26"/>
    <w:rsid w:val="0091246D"/>
    <w:rsid w:val="00912F33"/>
    <w:rsid w:val="00914A00"/>
    <w:rsid w:val="00914BBA"/>
    <w:rsid w:val="009171F5"/>
    <w:rsid w:val="0092245B"/>
    <w:rsid w:val="0092641D"/>
    <w:rsid w:val="009528D3"/>
    <w:rsid w:val="00953A0D"/>
    <w:rsid w:val="009542DA"/>
    <w:rsid w:val="00954FA1"/>
    <w:rsid w:val="0095582A"/>
    <w:rsid w:val="00961675"/>
    <w:rsid w:val="009635A5"/>
    <w:rsid w:val="009656A1"/>
    <w:rsid w:val="00966ADF"/>
    <w:rsid w:val="00966B18"/>
    <w:rsid w:val="009703ED"/>
    <w:rsid w:val="00971270"/>
    <w:rsid w:val="00971976"/>
    <w:rsid w:val="00975AF2"/>
    <w:rsid w:val="009845C7"/>
    <w:rsid w:val="00984DAC"/>
    <w:rsid w:val="009866A5"/>
    <w:rsid w:val="00991E30"/>
    <w:rsid w:val="009A52DE"/>
    <w:rsid w:val="009A6FD7"/>
    <w:rsid w:val="009B105C"/>
    <w:rsid w:val="009B2837"/>
    <w:rsid w:val="009B6D9C"/>
    <w:rsid w:val="009B781F"/>
    <w:rsid w:val="009B7F54"/>
    <w:rsid w:val="009C3BFB"/>
    <w:rsid w:val="009C7045"/>
    <w:rsid w:val="009D61D7"/>
    <w:rsid w:val="009D6B4E"/>
    <w:rsid w:val="009D6BC2"/>
    <w:rsid w:val="009E04BE"/>
    <w:rsid w:val="009E0ED3"/>
    <w:rsid w:val="009E2814"/>
    <w:rsid w:val="009E29F5"/>
    <w:rsid w:val="009E2AB8"/>
    <w:rsid w:val="009E3FFA"/>
    <w:rsid w:val="009E43CA"/>
    <w:rsid w:val="009E4910"/>
    <w:rsid w:val="009E6F40"/>
    <w:rsid w:val="009F27CF"/>
    <w:rsid w:val="009F616F"/>
    <w:rsid w:val="00A00253"/>
    <w:rsid w:val="00A03CE9"/>
    <w:rsid w:val="00A04256"/>
    <w:rsid w:val="00A11643"/>
    <w:rsid w:val="00A1166B"/>
    <w:rsid w:val="00A17608"/>
    <w:rsid w:val="00A209D2"/>
    <w:rsid w:val="00A233A0"/>
    <w:rsid w:val="00A25300"/>
    <w:rsid w:val="00A26A08"/>
    <w:rsid w:val="00A27A7D"/>
    <w:rsid w:val="00A356F4"/>
    <w:rsid w:val="00A364C0"/>
    <w:rsid w:val="00A41E51"/>
    <w:rsid w:val="00A45B2C"/>
    <w:rsid w:val="00A47479"/>
    <w:rsid w:val="00A5109F"/>
    <w:rsid w:val="00A5331B"/>
    <w:rsid w:val="00A61BF9"/>
    <w:rsid w:val="00A62D00"/>
    <w:rsid w:val="00A631C6"/>
    <w:rsid w:val="00A63D6C"/>
    <w:rsid w:val="00A650E8"/>
    <w:rsid w:val="00A6764B"/>
    <w:rsid w:val="00A67975"/>
    <w:rsid w:val="00A67EC7"/>
    <w:rsid w:val="00A73A78"/>
    <w:rsid w:val="00A76969"/>
    <w:rsid w:val="00A84561"/>
    <w:rsid w:val="00A84884"/>
    <w:rsid w:val="00A906A8"/>
    <w:rsid w:val="00A9158C"/>
    <w:rsid w:val="00A918EF"/>
    <w:rsid w:val="00A92250"/>
    <w:rsid w:val="00A93262"/>
    <w:rsid w:val="00A94D91"/>
    <w:rsid w:val="00AA1BED"/>
    <w:rsid w:val="00AA2F4F"/>
    <w:rsid w:val="00AB1864"/>
    <w:rsid w:val="00AB28C2"/>
    <w:rsid w:val="00AB4666"/>
    <w:rsid w:val="00AB78BE"/>
    <w:rsid w:val="00AB7C6F"/>
    <w:rsid w:val="00AD113D"/>
    <w:rsid w:val="00AD1164"/>
    <w:rsid w:val="00AE4345"/>
    <w:rsid w:val="00AE47CF"/>
    <w:rsid w:val="00AE4909"/>
    <w:rsid w:val="00AE55BA"/>
    <w:rsid w:val="00AE5B21"/>
    <w:rsid w:val="00AF19EC"/>
    <w:rsid w:val="00AF4136"/>
    <w:rsid w:val="00AF4D8E"/>
    <w:rsid w:val="00AF644F"/>
    <w:rsid w:val="00AF7562"/>
    <w:rsid w:val="00B02479"/>
    <w:rsid w:val="00B03108"/>
    <w:rsid w:val="00B045D3"/>
    <w:rsid w:val="00B04991"/>
    <w:rsid w:val="00B12703"/>
    <w:rsid w:val="00B17501"/>
    <w:rsid w:val="00B22D1C"/>
    <w:rsid w:val="00B233C7"/>
    <w:rsid w:val="00B25E60"/>
    <w:rsid w:val="00B26B47"/>
    <w:rsid w:val="00B30952"/>
    <w:rsid w:val="00B30C27"/>
    <w:rsid w:val="00B3285D"/>
    <w:rsid w:val="00B32C92"/>
    <w:rsid w:val="00B37D41"/>
    <w:rsid w:val="00B37E4B"/>
    <w:rsid w:val="00B46018"/>
    <w:rsid w:val="00B511A0"/>
    <w:rsid w:val="00B5395E"/>
    <w:rsid w:val="00B53F84"/>
    <w:rsid w:val="00B62429"/>
    <w:rsid w:val="00B635C6"/>
    <w:rsid w:val="00B6469F"/>
    <w:rsid w:val="00B649BA"/>
    <w:rsid w:val="00B744F6"/>
    <w:rsid w:val="00B74A24"/>
    <w:rsid w:val="00B77A01"/>
    <w:rsid w:val="00B82EF7"/>
    <w:rsid w:val="00B835EF"/>
    <w:rsid w:val="00B853FE"/>
    <w:rsid w:val="00B92DB2"/>
    <w:rsid w:val="00B94EA4"/>
    <w:rsid w:val="00B959E0"/>
    <w:rsid w:val="00BA3813"/>
    <w:rsid w:val="00BA3B61"/>
    <w:rsid w:val="00BB73F6"/>
    <w:rsid w:val="00BC2559"/>
    <w:rsid w:val="00BC25A7"/>
    <w:rsid w:val="00BC381B"/>
    <w:rsid w:val="00BC3C1E"/>
    <w:rsid w:val="00BC4B47"/>
    <w:rsid w:val="00BD5FA0"/>
    <w:rsid w:val="00BE115D"/>
    <w:rsid w:val="00BE2CF2"/>
    <w:rsid w:val="00BE2E5B"/>
    <w:rsid w:val="00BE6FB1"/>
    <w:rsid w:val="00BF11B9"/>
    <w:rsid w:val="00BF137C"/>
    <w:rsid w:val="00BF171D"/>
    <w:rsid w:val="00BF1DF7"/>
    <w:rsid w:val="00BF218B"/>
    <w:rsid w:val="00BF2CB9"/>
    <w:rsid w:val="00C0139C"/>
    <w:rsid w:val="00C0190F"/>
    <w:rsid w:val="00C0367F"/>
    <w:rsid w:val="00C06020"/>
    <w:rsid w:val="00C074C2"/>
    <w:rsid w:val="00C12527"/>
    <w:rsid w:val="00C12BD5"/>
    <w:rsid w:val="00C219EF"/>
    <w:rsid w:val="00C24BEB"/>
    <w:rsid w:val="00C325E2"/>
    <w:rsid w:val="00C34FF1"/>
    <w:rsid w:val="00C355B4"/>
    <w:rsid w:val="00C4053E"/>
    <w:rsid w:val="00C4161C"/>
    <w:rsid w:val="00C53F7E"/>
    <w:rsid w:val="00C57755"/>
    <w:rsid w:val="00C57CB1"/>
    <w:rsid w:val="00C57E34"/>
    <w:rsid w:val="00C62EE5"/>
    <w:rsid w:val="00C674FC"/>
    <w:rsid w:val="00C75E5F"/>
    <w:rsid w:val="00C77509"/>
    <w:rsid w:val="00C82C9A"/>
    <w:rsid w:val="00C83010"/>
    <w:rsid w:val="00C83538"/>
    <w:rsid w:val="00C83A7A"/>
    <w:rsid w:val="00C8658D"/>
    <w:rsid w:val="00C9048F"/>
    <w:rsid w:val="00C94F64"/>
    <w:rsid w:val="00C9542A"/>
    <w:rsid w:val="00C9698C"/>
    <w:rsid w:val="00C97781"/>
    <w:rsid w:val="00CA0E81"/>
    <w:rsid w:val="00CA3F4C"/>
    <w:rsid w:val="00CA4BC0"/>
    <w:rsid w:val="00CB06E2"/>
    <w:rsid w:val="00CB1A81"/>
    <w:rsid w:val="00CB4CC6"/>
    <w:rsid w:val="00CB5011"/>
    <w:rsid w:val="00CB5F58"/>
    <w:rsid w:val="00CC2FE0"/>
    <w:rsid w:val="00CC4361"/>
    <w:rsid w:val="00CD6262"/>
    <w:rsid w:val="00CE0945"/>
    <w:rsid w:val="00CE24D1"/>
    <w:rsid w:val="00CE3C40"/>
    <w:rsid w:val="00CE7EAD"/>
    <w:rsid w:val="00CF13D8"/>
    <w:rsid w:val="00CF2C61"/>
    <w:rsid w:val="00CF7398"/>
    <w:rsid w:val="00D013BB"/>
    <w:rsid w:val="00D01FB4"/>
    <w:rsid w:val="00D066EA"/>
    <w:rsid w:val="00D07562"/>
    <w:rsid w:val="00D10BCE"/>
    <w:rsid w:val="00D121F2"/>
    <w:rsid w:val="00D13738"/>
    <w:rsid w:val="00D153D4"/>
    <w:rsid w:val="00D154B2"/>
    <w:rsid w:val="00D16933"/>
    <w:rsid w:val="00D219FA"/>
    <w:rsid w:val="00D246AD"/>
    <w:rsid w:val="00D250DD"/>
    <w:rsid w:val="00D259A2"/>
    <w:rsid w:val="00D35BCD"/>
    <w:rsid w:val="00D40992"/>
    <w:rsid w:val="00D420E0"/>
    <w:rsid w:val="00D42191"/>
    <w:rsid w:val="00D51764"/>
    <w:rsid w:val="00D54588"/>
    <w:rsid w:val="00D630F3"/>
    <w:rsid w:val="00D66D56"/>
    <w:rsid w:val="00D714FF"/>
    <w:rsid w:val="00D730B0"/>
    <w:rsid w:val="00D73922"/>
    <w:rsid w:val="00D86B62"/>
    <w:rsid w:val="00D90332"/>
    <w:rsid w:val="00D9234A"/>
    <w:rsid w:val="00DA433F"/>
    <w:rsid w:val="00DB046C"/>
    <w:rsid w:val="00DB2F6E"/>
    <w:rsid w:val="00DB618E"/>
    <w:rsid w:val="00DC1B94"/>
    <w:rsid w:val="00DC2D96"/>
    <w:rsid w:val="00DC2FCF"/>
    <w:rsid w:val="00DC593C"/>
    <w:rsid w:val="00DC689E"/>
    <w:rsid w:val="00DD1C33"/>
    <w:rsid w:val="00DD3E97"/>
    <w:rsid w:val="00DD45A1"/>
    <w:rsid w:val="00DD792D"/>
    <w:rsid w:val="00DD7AC8"/>
    <w:rsid w:val="00DE23FE"/>
    <w:rsid w:val="00DE3ED3"/>
    <w:rsid w:val="00DE4AAA"/>
    <w:rsid w:val="00DE793D"/>
    <w:rsid w:val="00E00EDD"/>
    <w:rsid w:val="00E05012"/>
    <w:rsid w:val="00E065BF"/>
    <w:rsid w:val="00E16E4E"/>
    <w:rsid w:val="00E17AC8"/>
    <w:rsid w:val="00E17F24"/>
    <w:rsid w:val="00E2048B"/>
    <w:rsid w:val="00E251F4"/>
    <w:rsid w:val="00E25313"/>
    <w:rsid w:val="00E26563"/>
    <w:rsid w:val="00E32D98"/>
    <w:rsid w:val="00E359B1"/>
    <w:rsid w:val="00E40C9F"/>
    <w:rsid w:val="00E41D15"/>
    <w:rsid w:val="00E500C2"/>
    <w:rsid w:val="00E52F0B"/>
    <w:rsid w:val="00E54B0E"/>
    <w:rsid w:val="00E647D5"/>
    <w:rsid w:val="00E64D27"/>
    <w:rsid w:val="00E70593"/>
    <w:rsid w:val="00E709A4"/>
    <w:rsid w:val="00E73DB0"/>
    <w:rsid w:val="00E74410"/>
    <w:rsid w:val="00E76369"/>
    <w:rsid w:val="00E83CD3"/>
    <w:rsid w:val="00E8403D"/>
    <w:rsid w:val="00E84A95"/>
    <w:rsid w:val="00E84B1B"/>
    <w:rsid w:val="00E85855"/>
    <w:rsid w:val="00E8595C"/>
    <w:rsid w:val="00E85D9B"/>
    <w:rsid w:val="00E86647"/>
    <w:rsid w:val="00E866B8"/>
    <w:rsid w:val="00E878F1"/>
    <w:rsid w:val="00E9308D"/>
    <w:rsid w:val="00E93165"/>
    <w:rsid w:val="00E949CD"/>
    <w:rsid w:val="00E95CFC"/>
    <w:rsid w:val="00EA18C7"/>
    <w:rsid w:val="00EA4A23"/>
    <w:rsid w:val="00EA500D"/>
    <w:rsid w:val="00EA6AAE"/>
    <w:rsid w:val="00EA706A"/>
    <w:rsid w:val="00EB19C4"/>
    <w:rsid w:val="00EB1D3A"/>
    <w:rsid w:val="00EB6ED1"/>
    <w:rsid w:val="00EB7CC8"/>
    <w:rsid w:val="00EB7FEB"/>
    <w:rsid w:val="00EC201E"/>
    <w:rsid w:val="00EC59BC"/>
    <w:rsid w:val="00EC62DC"/>
    <w:rsid w:val="00EC710B"/>
    <w:rsid w:val="00ED1DD5"/>
    <w:rsid w:val="00ED2331"/>
    <w:rsid w:val="00ED457E"/>
    <w:rsid w:val="00EE2E25"/>
    <w:rsid w:val="00EE318C"/>
    <w:rsid w:val="00EF24C3"/>
    <w:rsid w:val="00F10742"/>
    <w:rsid w:val="00F33EA2"/>
    <w:rsid w:val="00F341E8"/>
    <w:rsid w:val="00F34436"/>
    <w:rsid w:val="00F414A0"/>
    <w:rsid w:val="00F43358"/>
    <w:rsid w:val="00F43754"/>
    <w:rsid w:val="00F62AF9"/>
    <w:rsid w:val="00F72E98"/>
    <w:rsid w:val="00F74C30"/>
    <w:rsid w:val="00F7683F"/>
    <w:rsid w:val="00F85F95"/>
    <w:rsid w:val="00F86819"/>
    <w:rsid w:val="00F873D4"/>
    <w:rsid w:val="00F961C6"/>
    <w:rsid w:val="00F97DB7"/>
    <w:rsid w:val="00FA22DA"/>
    <w:rsid w:val="00FA6E1C"/>
    <w:rsid w:val="00FB0E5F"/>
    <w:rsid w:val="00FB4A44"/>
    <w:rsid w:val="00FB5DD4"/>
    <w:rsid w:val="00FC0E0D"/>
    <w:rsid w:val="00FC1D3C"/>
    <w:rsid w:val="00FC1FA3"/>
    <w:rsid w:val="00FD0675"/>
    <w:rsid w:val="00FD536E"/>
    <w:rsid w:val="00FE1848"/>
    <w:rsid w:val="00FE2EFC"/>
    <w:rsid w:val="00FE658B"/>
    <w:rsid w:val="00FF2ECB"/>
    <w:rsid w:val="00FF34E0"/>
    <w:rsid w:val="00FF39D9"/>
    <w:rsid w:val="00FF457D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B5370"/>
    <w:pPr>
      <w:spacing w:after="200" w:line="276" w:lineRule="auto"/>
    </w:pPr>
    <w:rPr>
      <w:rFonts w:eastAsia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2936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936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936F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2936F9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7B5370"/>
    <w:pPr>
      <w:ind w:left="720"/>
      <w:contextualSpacing/>
    </w:pPr>
  </w:style>
  <w:style w:type="character" w:customStyle="1" w:styleId="hps">
    <w:name w:val="hps"/>
    <w:basedOn w:val="Zadanifontodlomka"/>
    <w:uiPriority w:val="99"/>
    <w:rsid w:val="007B537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7B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B5370"/>
    <w:rPr>
      <w:rFonts w:ascii="Tahom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rsid w:val="0096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84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4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B377D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4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B377D"/>
    <w:rPr>
      <w:rFonts w:eastAsia="Times New Roman" w:cs="Times New Roman"/>
      <w:lang w:eastAsia="hr-HR"/>
    </w:rPr>
  </w:style>
  <w:style w:type="paragraph" w:styleId="TOCNaslov">
    <w:name w:val="TOC Heading"/>
    <w:basedOn w:val="Naslov1"/>
    <w:next w:val="Normal"/>
    <w:uiPriority w:val="99"/>
    <w:qFormat/>
    <w:rsid w:val="002936F9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99"/>
    <w:rsid w:val="00870F6B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870F6B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870F6B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99"/>
    <w:semiHidden/>
    <w:rsid w:val="00870F6B"/>
    <w:pPr>
      <w:spacing w:after="100"/>
      <w:ind w:left="440"/>
    </w:pPr>
    <w:rPr>
      <w:lang w:val="en-US" w:eastAsia="ja-JP"/>
    </w:rPr>
  </w:style>
  <w:style w:type="paragraph" w:styleId="Tekstkrajnjebiljeke">
    <w:name w:val="endnote text"/>
    <w:basedOn w:val="Normal"/>
    <w:link w:val="TekstkrajnjebiljekeChar"/>
    <w:uiPriority w:val="99"/>
    <w:semiHidden/>
    <w:rsid w:val="005911A3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5911A3"/>
    <w:rPr>
      <w:rFonts w:eastAsia="Times New Roman" w:cs="Times New Roman"/>
      <w:sz w:val="20"/>
      <w:szCs w:val="20"/>
      <w:lang w:eastAsia="zh-CN"/>
    </w:rPr>
  </w:style>
  <w:style w:type="character" w:styleId="Referencakrajnjebiljeke">
    <w:name w:val="endnote reference"/>
    <w:basedOn w:val="Zadanifontodlomka"/>
    <w:uiPriority w:val="99"/>
    <w:semiHidden/>
    <w:rsid w:val="005911A3"/>
    <w:rPr>
      <w:rFonts w:cs="Times New Roman"/>
      <w:vertAlign w:val="superscript"/>
    </w:rPr>
  </w:style>
  <w:style w:type="character" w:styleId="Referencakomentara">
    <w:name w:val="annotation reference"/>
    <w:basedOn w:val="Zadanifontodlomka"/>
    <w:uiPriority w:val="99"/>
    <w:semiHidden/>
    <w:rsid w:val="003273D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273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273D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273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273D8"/>
    <w:rPr>
      <w:rFonts w:eastAsia="Times New Roman" w:cs="Times New Roman"/>
      <w:b/>
      <w:bCs/>
      <w:sz w:val="20"/>
      <w:szCs w:val="20"/>
      <w:lang w:eastAsia="hr-HR"/>
    </w:rPr>
  </w:style>
  <w:style w:type="character" w:customStyle="1" w:styleId="st">
    <w:name w:val="st"/>
    <w:basedOn w:val="Zadanifontodlomka"/>
    <w:uiPriority w:val="99"/>
    <w:rsid w:val="0024140B"/>
    <w:rPr>
      <w:rFonts w:cs="Times New Roman"/>
    </w:rPr>
  </w:style>
  <w:style w:type="character" w:styleId="Istaknuto">
    <w:name w:val="Emphasis"/>
    <w:basedOn w:val="Zadanifontodlomka"/>
    <w:uiPriority w:val="99"/>
    <w:qFormat/>
    <w:rsid w:val="0024140B"/>
    <w:rPr>
      <w:rFonts w:cs="Times New Roman"/>
      <w:i/>
      <w:iCs/>
    </w:rPr>
  </w:style>
  <w:style w:type="paragraph" w:styleId="Bibliografija">
    <w:name w:val="Bibliography"/>
    <w:basedOn w:val="Normal"/>
    <w:next w:val="Normal"/>
    <w:uiPriority w:val="99"/>
    <w:rsid w:val="00385521"/>
  </w:style>
  <w:style w:type="character" w:customStyle="1" w:styleId="apple-converted-space">
    <w:name w:val="apple-converted-space"/>
    <w:basedOn w:val="Zadanifontodlomka"/>
    <w:uiPriority w:val="99"/>
    <w:rsid w:val="00D250DD"/>
    <w:rPr>
      <w:rFonts w:cs="Times New Roman"/>
    </w:rPr>
  </w:style>
  <w:style w:type="table" w:styleId="Reetkatablice">
    <w:name w:val="Table Grid"/>
    <w:basedOn w:val="Obinatablica"/>
    <w:uiPriority w:val="99"/>
    <w:rsid w:val="00C674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B5370"/>
    <w:pPr>
      <w:spacing w:after="200" w:line="276" w:lineRule="auto"/>
    </w:pPr>
    <w:rPr>
      <w:rFonts w:eastAsia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2936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936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936F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2936F9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7B5370"/>
    <w:pPr>
      <w:ind w:left="720"/>
      <w:contextualSpacing/>
    </w:pPr>
  </w:style>
  <w:style w:type="character" w:customStyle="1" w:styleId="hps">
    <w:name w:val="hps"/>
    <w:basedOn w:val="Zadanifontodlomka"/>
    <w:uiPriority w:val="99"/>
    <w:rsid w:val="007B5370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7B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B5370"/>
    <w:rPr>
      <w:rFonts w:ascii="Tahom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rsid w:val="00966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A845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4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4B377D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rsid w:val="004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4B377D"/>
    <w:rPr>
      <w:rFonts w:eastAsia="Times New Roman" w:cs="Times New Roman"/>
      <w:lang w:eastAsia="hr-HR"/>
    </w:rPr>
  </w:style>
  <w:style w:type="paragraph" w:styleId="TOCNaslov">
    <w:name w:val="TOC Heading"/>
    <w:basedOn w:val="Naslov1"/>
    <w:next w:val="Normal"/>
    <w:uiPriority w:val="99"/>
    <w:qFormat/>
    <w:rsid w:val="002936F9"/>
    <w:pPr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99"/>
    <w:rsid w:val="00870F6B"/>
    <w:pPr>
      <w:spacing w:after="100"/>
    </w:pPr>
  </w:style>
  <w:style w:type="paragraph" w:styleId="Sadraj2">
    <w:name w:val="toc 2"/>
    <w:basedOn w:val="Normal"/>
    <w:next w:val="Normal"/>
    <w:autoRedefine/>
    <w:uiPriority w:val="99"/>
    <w:rsid w:val="00870F6B"/>
    <w:pPr>
      <w:spacing w:after="100"/>
      <w:ind w:left="220"/>
    </w:pPr>
  </w:style>
  <w:style w:type="character" w:styleId="Hiperveza">
    <w:name w:val="Hyperlink"/>
    <w:basedOn w:val="Zadanifontodlomka"/>
    <w:uiPriority w:val="99"/>
    <w:rsid w:val="00870F6B"/>
    <w:rPr>
      <w:rFonts w:cs="Times New Roman"/>
      <w:color w:val="0000FF"/>
      <w:u w:val="single"/>
    </w:rPr>
  </w:style>
  <w:style w:type="paragraph" w:styleId="Sadraj3">
    <w:name w:val="toc 3"/>
    <w:basedOn w:val="Normal"/>
    <w:next w:val="Normal"/>
    <w:autoRedefine/>
    <w:uiPriority w:val="99"/>
    <w:semiHidden/>
    <w:rsid w:val="00870F6B"/>
    <w:pPr>
      <w:spacing w:after="100"/>
      <w:ind w:left="440"/>
    </w:pPr>
    <w:rPr>
      <w:lang w:val="en-US" w:eastAsia="ja-JP"/>
    </w:rPr>
  </w:style>
  <w:style w:type="paragraph" w:styleId="Tekstkrajnjebiljeke">
    <w:name w:val="endnote text"/>
    <w:basedOn w:val="Normal"/>
    <w:link w:val="TekstkrajnjebiljekeChar"/>
    <w:uiPriority w:val="99"/>
    <w:semiHidden/>
    <w:rsid w:val="005911A3"/>
    <w:pPr>
      <w:spacing w:after="0" w:line="240" w:lineRule="auto"/>
    </w:pPr>
    <w:rPr>
      <w:sz w:val="20"/>
      <w:szCs w:val="20"/>
      <w:lang w:eastAsia="zh-CN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locked/>
    <w:rsid w:val="005911A3"/>
    <w:rPr>
      <w:rFonts w:eastAsia="Times New Roman" w:cs="Times New Roman"/>
      <w:sz w:val="20"/>
      <w:szCs w:val="20"/>
      <w:lang w:eastAsia="zh-CN"/>
    </w:rPr>
  </w:style>
  <w:style w:type="character" w:styleId="Referencakrajnjebiljeke">
    <w:name w:val="endnote reference"/>
    <w:basedOn w:val="Zadanifontodlomka"/>
    <w:uiPriority w:val="99"/>
    <w:semiHidden/>
    <w:rsid w:val="005911A3"/>
    <w:rPr>
      <w:rFonts w:cs="Times New Roman"/>
      <w:vertAlign w:val="superscript"/>
    </w:rPr>
  </w:style>
  <w:style w:type="character" w:styleId="Referencakomentara">
    <w:name w:val="annotation reference"/>
    <w:basedOn w:val="Zadanifontodlomka"/>
    <w:uiPriority w:val="99"/>
    <w:semiHidden/>
    <w:rsid w:val="003273D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273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273D8"/>
    <w:rPr>
      <w:rFonts w:eastAsia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273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273D8"/>
    <w:rPr>
      <w:rFonts w:eastAsia="Times New Roman" w:cs="Times New Roman"/>
      <w:b/>
      <w:bCs/>
      <w:sz w:val="20"/>
      <w:szCs w:val="20"/>
      <w:lang w:eastAsia="hr-HR"/>
    </w:rPr>
  </w:style>
  <w:style w:type="character" w:customStyle="1" w:styleId="st">
    <w:name w:val="st"/>
    <w:basedOn w:val="Zadanifontodlomka"/>
    <w:uiPriority w:val="99"/>
    <w:rsid w:val="0024140B"/>
    <w:rPr>
      <w:rFonts w:cs="Times New Roman"/>
    </w:rPr>
  </w:style>
  <w:style w:type="character" w:styleId="Istaknuto">
    <w:name w:val="Emphasis"/>
    <w:basedOn w:val="Zadanifontodlomka"/>
    <w:uiPriority w:val="99"/>
    <w:qFormat/>
    <w:rsid w:val="0024140B"/>
    <w:rPr>
      <w:rFonts w:cs="Times New Roman"/>
      <w:i/>
      <w:iCs/>
    </w:rPr>
  </w:style>
  <w:style w:type="paragraph" w:styleId="Bibliografija">
    <w:name w:val="Bibliography"/>
    <w:basedOn w:val="Normal"/>
    <w:next w:val="Normal"/>
    <w:uiPriority w:val="99"/>
    <w:rsid w:val="00385521"/>
  </w:style>
  <w:style w:type="character" w:customStyle="1" w:styleId="apple-converted-space">
    <w:name w:val="apple-converted-space"/>
    <w:basedOn w:val="Zadanifontodlomka"/>
    <w:uiPriority w:val="99"/>
    <w:rsid w:val="00D250DD"/>
    <w:rPr>
      <w:rFonts w:cs="Times New Roman"/>
    </w:rPr>
  </w:style>
  <w:style w:type="table" w:styleId="Reetkatablice">
    <w:name w:val="Table Grid"/>
    <w:basedOn w:val="Obinatablica"/>
    <w:uiPriority w:val="99"/>
    <w:rsid w:val="00C674FC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702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705">
          <w:marLeft w:val="27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sekerija\Desktop\HFA%20Erce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sekerija\Desktop\HFA%20Erceg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msekerija\Desktop\HFA%20Erce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252545559464644E-2"/>
          <c:y val="4.63328862218471E-2"/>
          <c:w val="0.60664563206195643"/>
          <c:h val="0.80419638556038009"/>
        </c:manualLayout>
      </c:layout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Hrvatska</c:v>
                </c:pt>
              </c:strCache>
            </c:strRef>
          </c:tx>
          <c:marker>
            <c:symbol val="none"/>
          </c:marker>
          <c:cat>
            <c:numRef>
              <c:f>Sheet1!$A$3:$A$14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Sheet1!$B$3:$B$14</c:f>
              <c:numCache>
                <c:formatCode>General</c:formatCode>
                <c:ptCount val="12"/>
                <c:pt idx="0">
                  <c:v>486.18</c:v>
                </c:pt>
                <c:pt idx="1">
                  <c:v>482.48</c:v>
                </c:pt>
                <c:pt idx="2">
                  <c:v>499.61</c:v>
                </c:pt>
                <c:pt idx="3">
                  <c:v>419.04</c:v>
                </c:pt>
                <c:pt idx="4">
                  <c:v>438.83</c:v>
                </c:pt>
                <c:pt idx="5">
                  <c:v>417.73</c:v>
                </c:pt>
                <c:pt idx="6">
                  <c:v>417.68</c:v>
                </c:pt>
                <c:pt idx="7">
                  <c:v>401.48</c:v>
                </c:pt>
                <c:pt idx="8">
                  <c:v>386.08</c:v>
                </c:pt>
                <c:pt idx="9">
                  <c:v>370.75</c:v>
                </c:pt>
                <c:pt idx="10">
                  <c:v>350.96</c:v>
                </c:pt>
                <c:pt idx="11">
                  <c:v>342.07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EU članice do svibnja 2004</c:v>
                </c:pt>
              </c:strCache>
            </c:strRef>
          </c:tx>
          <c:marker>
            <c:symbol val="none"/>
          </c:marker>
          <c:cat>
            <c:numRef>
              <c:f>Sheet1!$A$3:$A$14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238.07</c:v>
                </c:pt>
                <c:pt idx="1">
                  <c:v>234.04</c:v>
                </c:pt>
                <c:pt idx="2">
                  <c:v>231.5</c:v>
                </c:pt>
                <c:pt idx="3">
                  <c:v>213.76</c:v>
                </c:pt>
                <c:pt idx="4">
                  <c:v>204.93</c:v>
                </c:pt>
                <c:pt idx="5">
                  <c:v>192.26</c:v>
                </c:pt>
                <c:pt idx="6">
                  <c:v>185.95</c:v>
                </c:pt>
                <c:pt idx="7">
                  <c:v>179.21</c:v>
                </c:pt>
                <c:pt idx="8">
                  <c:v>171.41</c:v>
                </c:pt>
                <c:pt idx="9">
                  <c:v>164.69</c:v>
                </c:pt>
                <c:pt idx="10">
                  <c:v>160.11000000000001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EU članice nakon svibnja 2004</c:v>
                </c:pt>
              </c:strCache>
            </c:strRef>
          </c:tx>
          <c:marker>
            <c:symbol val="none"/>
          </c:marker>
          <c:cat>
            <c:numRef>
              <c:f>Sheet1!$A$3:$A$14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Sheet1!$D$3:$D$14</c:f>
              <c:numCache>
                <c:formatCode>General</c:formatCode>
                <c:ptCount val="12"/>
                <c:pt idx="0">
                  <c:v>523.54999999999995</c:v>
                </c:pt>
                <c:pt idx="1">
                  <c:v>522.78</c:v>
                </c:pt>
                <c:pt idx="2">
                  <c:v>521.94000000000005</c:v>
                </c:pt>
                <c:pt idx="3">
                  <c:v>493.94</c:v>
                </c:pt>
                <c:pt idx="4">
                  <c:v>490.19</c:v>
                </c:pt>
                <c:pt idx="5">
                  <c:v>469.99</c:v>
                </c:pt>
                <c:pt idx="6">
                  <c:v>453.78</c:v>
                </c:pt>
                <c:pt idx="7">
                  <c:v>435.86</c:v>
                </c:pt>
                <c:pt idx="8">
                  <c:v>429.37</c:v>
                </c:pt>
                <c:pt idx="9">
                  <c:v>417.9</c:v>
                </c:pt>
                <c:pt idx="10">
                  <c:v>404.73</c:v>
                </c:pt>
                <c:pt idx="11">
                  <c:v>403.76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40256"/>
        <c:axId val="27441792"/>
      </c:lineChart>
      <c:catAx>
        <c:axId val="2744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2700000"/>
          <a:lstStyle/>
          <a:p>
            <a:pPr>
              <a:defRPr/>
            </a:pPr>
            <a:endParaRPr lang="sr-Latn-RS"/>
          </a:p>
        </c:txPr>
        <c:crossAx val="27441792"/>
        <c:crosses val="autoZero"/>
        <c:auto val="1"/>
        <c:lblAlgn val="ctr"/>
        <c:lblOffset val="100"/>
        <c:noMultiLvlLbl val="0"/>
      </c:catAx>
      <c:valAx>
        <c:axId val="274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40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09090909090911"/>
          <c:y val="0.32068965517241377"/>
          <c:w val="0.27636363636363637"/>
          <c:h val="0.403448275862068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3252545559464644E-2"/>
          <c:y val="4.6332886221847044E-2"/>
          <c:w val="0.60664563206195621"/>
          <c:h val="0.80419638556038009"/>
        </c:manualLayout>
      </c:layout>
      <c:lineChart>
        <c:grouping val="standard"/>
        <c:varyColors val="1"/>
        <c:ser>
          <c:idx val="0"/>
          <c:order val="0"/>
          <c:tx>
            <c:strRef>
              <c:f>Sheet1!$B$41</c:f>
              <c:strCache>
                <c:ptCount val="1"/>
                <c:pt idx="0">
                  <c:v>Croatia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Sheet1!$A$42:$A$53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Sheet1!$B$42:$B$53</c:f>
              <c:numCache>
                <c:formatCode>General</c:formatCode>
                <c:ptCount val="12"/>
                <c:pt idx="0">
                  <c:v>13.850000000000026</c:v>
                </c:pt>
                <c:pt idx="1">
                  <c:v>14.950000000000006</c:v>
                </c:pt>
                <c:pt idx="2">
                  <c:v>17.630000000000031</c:v>
                </c:pt>
                <c:pt idx="3">
                  <c:v>15.38</c:v>
                </c:pt>
                <c:pt idx="4">
                  <c:v>17.03</c:v>
                </c:pt>
                <c:pt idx="5">
                  <c:v>17.27</c:v>
                </c:pt>
                <c:pt idx="6">
                  <c:v>19.86</c:v>
                </c:pt>
                <c:pt idx="7">
                  <c:v>19.010000000000005</c:v>
                </c:pt>
                <c:pt idx="8">
                  <c:v>19.760000000000002</c:v>
                </c:pt>
                <c:pt idx="9">
                  <c:v>20.21</c:v>
                </c:pt>
                <c:pt idx="10">
                  <c:v>16.82</c:v>
                </c:pt>
                <c:pt idx="11">
                  <c:v>18.439999999999987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Sheet1!$C$41</c:f>
              <c:strCache>
                <c:ptCount val="1"/>
                <c:pt idx="0">
                  <c:v>EU members before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Sheet1!$A$42:$A$53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Sheet1!$C$42:$C$53</c:f>
              <c:numCache>
                <c:formatCode>General</c:formatCode>
                <c:ptCount val="12"/>
                <c:pt idx="0">
                  <c:v>13.91</c:v>
                </c:pt>
                <c:pt idx="1">
                  <c:v>14.11</c:v>
                </c:pt>
                <c:pt idx="2">
                  <c:v>14.53</c:v>
                </c:pt>
                <c:pt idx="3">
                  <c:v>14.07</c:v>
                </c:pt>
                <c:pt idx="4">
                  <c:v>13.83</c:v>
                </c:pt>
                <c:pt idx="5">
                  <c:v>12.9</c:v>
                </c:pt>
                <c:pt idx="6">
                  <c:v>12.5</c:v>
                </c:pt>
                <c:pt idx="7">
                  <c:v>12.28</c:v>
                </c:pt>
                <c:pt idx="8">
                  <c:v>11.96</c:v>
                </c:pt>
                <c:pt idx="9">
                  <c:v>11.56</c:v>
                </c:pt>
                <c:pt idx="10">
                  <c:v>11.39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Sheet1!$D$41</c:f>
              <c:strCache>
                <c:ptCount val="1"/>
                <c:pt idx="0">
                  <c:v>EU members since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Sheet1!$A$42:$A$53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Sheet1!$D$42:$D$53</c:f>
              <c:numCache>
                <c:formatCode>General</c:formatCode>
                <c:ptCount val="12"/>
                <c:pt idx="0">
                  <c:v>11.56</c:v>
                </c:pt>
                <c:pt idx="1">
                  <c:v>11.96</c:v>
                </c:pt>
                <c:pt idx="2">
                  <c:v>12.62</c:v>
                </c:pt>
                <c:pt idx="3">
                  <c:v>12.03</c:v>
                </c:pt>
                <c:pt idx="4">
                  <c:v>12.91</c:v>
                </c:pt>
                <c:pt idx="5">
                  <c:v>12.98</c:v>
                </c:pt>
                <c:pt idx="6">
                  <c:v>13.68</c:v>
                </c:pt>
                <c:pt idx="7">
                  <c:v>13.13</c:v>
                </c:pt>
                <c:pt idx="8">
                  <c:v>12.950000000000006</c:v>
                </c:pt>
                <c:pt idx="9">
                  <c:v>12.41</c:v>
                </c:pt>
                <c:pt idx="10">
                  <c:v>12.450000000000006</c:v>
                </c:pt>
                <c:pt idx="11">
                  <c:v>12.450000000000006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285248"/>
        <c:axId val="97286784"/>
      </c:lineChart>
      <c:catAx>
        <c:axId val="9728524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97286784"/>
        <c:crossesAt val="0"/>
        <c:auto val="1"/>
        <c:lblAlgn val="ctr"/>
        <c:lblOffset val="100"/>
        <c:noMultiLvlLbl val="1"/>
      </c:catAx>
      <c:valAx>
        <c:axId val="97286784"/>
        <c:scaling>
          <c:orientation val="minMax"/>
          <c:min val="1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97285248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3252545559464644E-2"/>
          <c:y val="4.6332886221847044E-2"/>
          <c:w val="0.62927792584328401"/>
          <c:h val="0.80419638556038009"/>
        </c:manualLayout>
      </c:layout>
      <c:lineChart>
        <c:grouping val="standard"/>
        <c:varyColors val="1"/>
        <c:ser>
          <c:idx val="0"/>
          <c:order val="0"/>
          <c:tx>
            <c:strRef>
              <c:f>Sheet1!$B$15</c:f>
              <c:strCache>
                <c:ptCount val="1"/>
                <c:pt idx="0">
                  <c:v>Croatia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Sheet1!$A$16:$A$27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Sheet1!$B$16:$B$27</c:f>
              <c:numCache>
                <c:formatCode>General</c:formatCode>
                <c:ptCount val="12"/>
                <c:pt idx="0">
                  <c:v>213.02</c:v>
                </c:pt>
                <c:pt idx="1">
                  <c:v>213.33</c:v>
                </c:pt>
                <c:pt idx="2">
                  <c:v>214.3</c:v>
                </c:pt>
                <c:pt idx="3">
                  <c:v>208.97</c:v>
                </c:pt>
                <c:pt idx="4">
                  <c:v>212.6</c:v>
                </c:pt>
                <c:pt idx="5">
                  <c:v>210.23999999999998</c:v>
                </c:pt>
                <c:pt idx="6">
                  <c:v>208.22</c:v>
                </c:pt>
                <c:pt idx="7">
                  <c:v>211.82000000000085</c:v>
                </c:pt>
                <c:pt idx="8">
                  <c:v>210.91</c:v>
                </c:pt>
                <c:pt idx="9">
                  <c:v>210.82000000000085</c:v>
                </c:pt>
                <c:pt idx="10">
                  <c:v>212.23999999999998</c:v>
                </c:pt>
                <c:pt idx="11">
                  <c:v>209.83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Sheet1!$C$15</c:f>
              <c:strCache>
                <c:ptCount val="1"/>
                <c:pt idx="0">
                  <c:v>EU members before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Sheet1!$A$16:$A$27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Sheet1!$C$16:$C$27</c:f>
              <c:numCache>
                <c:formatCode>General</c:formatCode>
                <c:ptCount val="12"/>
                <c:pt idx="0">
                  <c:v>180.42000000000004</c:v>
                </c:pt>
                <c:pt idx="1">
                  <c:v>178.1</c:v>
                </c:pt>
                <c:pt idx="2">
                  <c:v>176.01</c:v>
                </c:pt>
                <c:pt idx="3">
                  <c:v>173.05</c:v>
                </c:pt>
                <c:pt idx="4">
                  <c:v>170.84</c:v>
                </c:pt>
                <c:pt idx="5">
                  <c:v>168.06</c:v>
                </c:pt>
                <c:pt idx="6">
                  <c:v>166.12</c:v>
                </c:pt>
                <c:pt idx="7">
                  <c:v>164.97</c:v>
                </c:pt>
                <c:pt idx="8">
                  <c:v>162.78</c:v>
                </c:pt>
                <c:pt idx="9">
                  <c:v>160.68</c:v>
                </c:pt>
                <c:pt idx="10">
                  <c:v>160.25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Sheet1!$D$15</c:f>
              <c:strCache>
                <c:ptCount val="1"/>
                <c:pt idx="0">
                  <c:v>EU members since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Sheet1!$A$16:$A$27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Sheet1!$D$16:$D$27</c:f>
              <c:numCache>
                <c:formatCode>General</c:formatCode>
                <c:ptCount val="12"/>
                <c:pt idx="0">
                  <c:v>208.45000000000007</c:v>
                </c:pt>
                <c:pt idx="1">
                  <c:v>208.12</c:v>
                </c:pt>
                <c:pt idx="2">
                  <c:v>207.33</c:v>
                </c:pt>
                <c:pt idx="3">
                  <c:v>206</c:v>
                </c:pt>
                <c:pt idx="4">
                  <c:v>203.41</c:v>
                </c:pt>
                <c:pt idx="5">
                  <c:v>202.47</c:v>
                </c:pt>
                <c:pt idx="6">
                  <c:v>200.94</c:v>
                </c:pt>
                <c:pt idx="7">
                  <c:v>199.55</c:v>
                </c:pt>
                <c:pt idx="8">
                  <c:v>197.41</c:v>
                </c:pt>
                <c:pt idx="9">
                  <c:v>193.82000000000085</c:v>
                </c:pt>
                <c:pt idx="10">
                  <c:v>191.37</c:v>
                </c:pt>
                <c:pt idx="11">
                  <c:v>190.94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30304"/>
        <c:axId val="97331840"/>
      </c:lineChart>
      <c:catAx>
        <c:axId val="9733030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97331840"/>
        <c:crossesAt val="0"/>
        <c:auto val="1"/>
        <c:lblAlgn val="ctr"/>
        <c:lblOffset val="100"/>
        <c:noMultiLvlLbl val="1"/>
      </c:catAx>
      <c:valAx>
        <c:axId val="97331840"/>
        <c:scaling>
          <c:orientation val="minMax"/>
          <c:min val="10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97330304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7.3252545559464644E-2"/>
          <c:y val="4.6332886221847044E-2"/>
          <c:w val="0.60664563206195621"/>
          <c:h val="0.80419638556038009"/>
        </c:manualLayout>
      </c:layout>
      <c:lineChart>
        <c:grouping val="standard"/>
        <c:varyColors val="1"/>
        <c:ser>
          <c:idx val="0"/>
          <c:order val="0"/>
          <c:tx>
            <c:strRef>
              <c:f>Sheet1!$B$28</c:f>
              <c:strCache>
                <c:ptCount val="1"/>
                <c:pt idx="0">
                  <c:v>Croatia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Sheet1!$A$29:$A$40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Sheet1!$B$29:$B$40</c:f>
              <c:numCache>
                <c:formatCode>General</c:formatCode>
                <c:ptCount val="12"/>
                <c:pt idx="0">
                  <c:v>16.309999999999999</c:v>
                </c:pt>
                <c:pt idx="1">
                  <c:v>14.74</c:v>
                </c:pt>
                <c:pt idx="2">
                  <c:v>19.149999999999999</c:v>
                </c:pt>
                <c:pt idx="3">
                  <c:v>18.5</c:v>
                </c:pt>
                <c:pt idx="4">
                  <c:v>21.1</c:v>
                </c:pt>
                <c:pt idx="5">
                  <c:v>17.66</c:v>
                </c:pt>
                <c:pt idx="6">
                  <c:v>20.95</c:v>
                </c:pt>
                <c:pt idx="7">
                  <c:v>18.939999999999987</c:v>
                </c:pt>
                <c:pt idx="8">
                  <c:v>22.6</c:v>
                </c:pt>
                <c:pt idx="9">
                  <c:v>21.06</c:v>
                </c:pt>
                <c:pt idx="10">
                  <c:v>21.89</c:v>
                </c:pt>
                <c:pt idx="11">
                  <c:v>21.95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Sheet1!$C$28</c:f>
              <c:strCache>
                <c:ptCount val="1"/>
                <c:pt idx="0">
                  <c:v>EU members before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Sheet1!$A$29:$A$40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Sheet1!$C$29:$C$40</c:f>
              <c:numCache>
                <c:formatCode>General</c:formatCode>
                <c:ptCount val="12"/>
                <c:pt idx="0">
                  <c:v>18.75</c:v>
                </c:pt>
                <c:pt idx="1">
                  <c:v>19.72</c:v>
                </c:pt>
                <c:pt idx="2">
                  <c:v>21.05</c:v>
                </c:pt>
                <c:pt idx="3">
                  <c:v>18.8</c:v>
                </c:pt>
                <c:pt idx="4">
                  <c:v>19.14</c:v>
                </c:pt>
                <c:pt idx="5">
                  <c:v>17.55</c:v>
                </c:pt>
                <c:pt idx="6">
                  <c:v>18.09</c:v>
                </c:pt>
                <c:pt idx="7">
                  <c:v>17.72</c:v>
                </c:pt>
                <c:pt idx="8">
                  <c:v>17.75</c:v>
                </c:pt>
                <c:pt idx="9">
                  <c:v>17.170000000000005</c:v>
                </c:pt>
                <c:pt idx="10">
                  <c:v>17.14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Sheet1!$D$28</c:f>
              <c:strCache>
                <c:ptCount val="1"/>
                <c:pt idx="0">
                  <c:v>EU members since May 2004</c:v>
                </c:pt>
              </c:strCache>
            </c:strRef>
          </c:tx>
          <c:marker>
            <c:symbol val="none"/>
          </c:marker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numRef>
              <c:f>Sheet1!$A$29:$A$40</c:f>
              <c:numCache>
                <c:formatCode>General</c:formatCode>
                <c:ptCount val="12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</c:numCache>
            </c:numRef>
          </c:cat>
          <c:val>
            <c:numRef>
              <c:f>Sheet1!$D$29:$D$40</c:f>
              <c:numCache>
                <c:formatCode>General</c:formatCode>
                <c:ptCount val="12"/>
                <c:pt idx="0">
                  <c:v>18.260000000000002</c:v>
                </c:pt>
                <c:pt idx="1">
                  <c:v>18.55</c:v>
                </c:pt>
                <c:pt idx="2">
                  <c:v>19.68</c:v>
                </c:pt>
                <c:pt idx="3">
                  <c:v>18.21</c:v>
                </c:pt>
                <c:pt idx="4">
                  <c:v>20.45</c:v>
                </c:pt>
                <c:pt idx="5">
                  <c:v>18.989999999999871</c:v>
                </c:pt>
                <c:pt idx="6">
                  <c:v>19.91</c:v>
                </c:pt>
                <c:pt idx="7">
                  <c:v>18.55</c:v>
                </c:pt>
                <c:pt idx="8">
                  <c:v>18.54</c:v>
                </c:pt>
                <c:pt idx="9">
                  <c:v>16.779999999999987</c:v>
                </c:pt>
                <c:pt idx="10">
                  <c:v>17.37</c:v>
                </c:pt>
                <c:pt idx="11">
                  <c:v>17.38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71264"/>
        <c:axId val="97372800"/>
      </c:lineChart>
      <c:catAx>
        <c:axId val="97371264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97372800"/>
        <c:crossesAt val="0"/>
        <c:auto val="1"/>
        <c:lblAlgn val="ctr"/>
        <c:lblOffset val="100"/>
        <c:noMultiLvlLbl val="1"/>
      </c:catAx>
      <c:valAx>
        <c:axId val="97372800"/>
        <c:scaling>
          <c:orientation val="minMax"/>
          <c:min val="10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97371264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0.71572</cdr:x>
      <cdr:y>0.32451</cdr:y>
    </cdr:from>
    <cdr:to>
      <cdr:x>0.97906</cdr:x>
      <cdr:y>0.71833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53293" y="988828"/>
          <a:ext cx="1380952" cy="1200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0.71191</cdr:x>
      <cdr:y>0.35896</cdr:y>
    </cdr:from>
    <cdr:to>
      <cdr:x>0.98069</cdr:x>
      <cdr:y>0.75229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657600" y="1095154"/>
          <a:ext cx="1380952" cy="12000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0.7145</cdr:x>
      <cdr:y>0.35288</cdr:y>
    </cdr:from>
    <cdr:to>
      <cdr:x>0.97156</cdr:x>
      <cdr:y>0.74719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38353" y="1073888"/>
          <a:ext cx="1380952" cy="12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10045</Words>
  <Characters>57263</Characters>
  <Application>Microsoft Office Word</Application>
  <DocSecurity>0</DocSecurity>
  <Lines>477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 Erceg</dc:creator>
  <cp:lastModifiedBy>Rems Dobrin Vesna</cp:lastModifiedBy>
  <cp:revision>2</cp:revision>
  <cp:lastPrinted>2015-03-16T09:13:00Z</cp:lastPrinted>
  <dcterms:created xsi:type="dcterms:W3CDTF">2015-04-20T07:40:00Z</dcterms:created>
  <dcterms:modified xsi:type="dcterms:W3CDTF">2015-04-20T07:40:00Z</dcterms:modified>
</cp:coreProperties>
</file>